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3ED9" w14:textId="77777777" w:rsidR="00EC3358" w:rsidRDefault="00CE50A0" w:rsidP="00A9227C">
      <w:pPr>
        <w:pStyle w:val="NoSpacing"/>
      </w:pPr>
    </w:p>
    <w:p w14:paraId="2310D5D6" w14:textId="77777777" w:rsidR="003E36B0" w:rsidRPr="003E36B0" w:rsidRDefault="003E36B0" w:rsidP="003E36B0">
      <w:pPr>
        <w:pStyle w:val="NoSpacing"/>
        <w:jc w:val="center"/>
        <w:rPr>
          <w:b/>
          <w:sz w:val="24"/>
          <w:szCs w:val="24"/>
          <w:u w:val="single"/>
        </w:rPr>
      </w:pPr>
      <w:r w:rsidRPr="003E36B0">
        <w:rPr>
          <w:b/>
          <w:sz w:val="24"/>
          <w:szCs w:val="24"/>
          <w:u w:val="single"/>
        </w:rPr>
        <w:t>BSH guidance on B12 supplements during COVID pandemic</w:t>
      </w:r>
    </w:p>
    <w:p w14:paraId="57E845C3" w14:textId="77777777" w:rsidR="003E36B0" w:rsidRPr="00A9227C" w:rsidRDefault="003E36B0" w:rsidP="00A9227C">
      <w:pPr>
        <w:pStyle w:val="NoSpacing"/>
      </w:pPr>
    </w:p>
    <w:p w14:paraId="04C92D93" w14:textId="77777777" w:rsidR="00C97C57" w:rsidRPr="00A9227C" w:rsidRDefault="009D1481" w:rsidP="00C97C57">
      <w:pPr>
        <w:pStyle w:val="NoSpacing"/>
      </w:pPr>
      <w:r>
        <w:rPr>
          <w:b/>
        </w:rPr>
        <w:t>Reference</w:t>
      </w:r>
      <w:r w:rsidR="00CA1D49" w:rsidRPr="00CA1D49">
        <w:rPr>
          <w:b/>
        </w:rPr>
        <w:t>:</w:t>
      </w:r>
      <w:r w:rsidR="00C97C57">
        <w:rPr>
          <w:b/>
        </w:rPr>
        <w:t xml:space="preserve"> </w:t>
      </w:r>
      <w:hyperlink r:id="rId5" w:anchor="!scenario" w:history="1">
        <w:r w:rsidR="00C97C57" w:rsidRPr="00E64117">
          <w:rPr>
            <w:rStyle w:val="Hyperlink"/>
            <w:rFonts w:ascii="Helvetica" w:eastAsia="Times New Roman" w:hAnsi="Helvetica" w:cs="Times New Roman"/>
            <w:sz w:val="18"/>
            <w:szCs w:val="18"/>
            <w:lang w:eastAsia="en-GB"/>
          </w:rPr>
          <w:t>https://cks.nice.org.uk/anaemia-b12-and-folate-deficiency#!scenario</w:t>
        </w:r>
      </w:hyperlink>
    </w:p>
    <w:p w14:paraId="34E60AD0" w14:textId="77777777" w:rsidR="00A9227C" w:rsidRPr="00CA1D49" w:rsidRDefault="00A9227C" w:rsidP="00A9227C">
      <w:pPr>
        <w:pStyle w:val="NoSpacing"/>
        <w:rPr>
          <w:b/>
        </w:rPr>
      </w:pPr>
    </w:p>
    <w:p w14:paraId="7839A00E" w14:textId="77777777" w:rsidR="00A9227C" w:rsidRDefault="00A9227C" w:rsidP="00A9227C">
      <w:pPr>
        <w:pStyle w:val="NoSpacing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 xml:space="preserve">The maintenance </w:t>
      </w:r>
      <w:r w:rsidR="00CA1D49">
        <w:rPr>
          <w:rFonts w:eastAsia="Times New Roman"/>
          <w:color w:val="0E0E0E"/>
          <w:lang w:eastAsia="en-GB"/>
        </w:rPr>
        <w:t xml:space="preserve">B12 </w:t>
      </w:r>
      <w:r w:rsidRPr="00A9227C">
        <w:rPr>
          <w:rFonts w:eastAsia="Times New Roman"/>
          <w:color w:val="0E0E0E"/>
          <w:lang w:eastAsia="en-GB"/>
        </w:rPr>
        <w:t xml:space="preserve">dose depends on whether the deficiency is diet related or not. </w:t>
      </w:r>
    </w:p>
    <w:p w14:paraId="55BE38C3" w14:textId="77777777" w:rsidR="00A9227C" w:rsidRPr="00A9227C" w:rsidRDefault="00A9227C" w:rsidP="00A9227C">
      <w:pPr>
        <w:pStyle w:val="NoSpacing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>For people with B12 deficiency that is:</w:t>
      </w:r>
    </w:p>
    <w:p w14:paraId="7D947E75" w14:textId="77777777" w:rsidR="00A9227C" w:rsidRDefault="00A9227C" w:rsidP="00A9227C">
      <w:pPr>
        <w:pStyle w:val="NoSpacing"/>
        <w:rPr>
          <w:rFonts w:eastAsia="Times New Roman"/>
          <w:b/>
          <w:i/>
          <w:iCs/>
          <w:color w:val="0E0E0E"/>
          <w:lang w:eastAsia="en-GB"/>
        </w:rPr>
      </w:pPr>
    </w:p>
    <w:p w14:paraId="44C444BE" w14:textId="77777777" w:rsidR="00CA1D49" w:rsidRDefault="005B21F6" w:rsidP="00A9227C">
      <w:pPr>
        <w:pStyle w:val="NoSpacing"/>
        <w:rPr>
          <w:rFonts w:eastAsia="Times New Roman"/>
          <w:color w:val="0E0E0E"/>
          <w:lang w:eastAsia="en-GB"/>
        </w:rPr>
      </w:pPr>
      <w:r w:rsidRPr="00EE5A9B">
        <w:rPr>
          <w:rFonts w:eastAsia="Times New Roman"/>
          <w:b/>
          <w:color w:val="0E0E0E"/>
          <w:u w:val="single"/>
          <w:lang w:eastAsia="en-GB"/>
        </w:rPr>
        <w:t>B12 deficiency</w:t>
      </w:r>
      <w:r>
        <w:rPr>
          <w:rFonts w:eastAsia="Times New Roman"/>
          <w:b/>
          <w:i/>
          <w:iCs/>
          <w:color w:val="0E0E0E"/>
          <w:u w:val="single"/>
          <w:lang w:eastAsia="en-GB"/>
        </w:rPr>
        <w:t xml:space="preserve"> n</w:t>
      </w:r>
      <w:r w:rsidR="00A9227C" w:rsidRPr="00CA1D49">
        <w:rPr>
          <w:rFonts w:eastAsia="Times New Roman"/>
          <w:b/>
          <w:i/>
          <w:iCs/>
          <w:color w:val="0E0E0E"/>
          <w:u w:val="single"/>
          <w:lang w:eastAsia="en-GB"/>
        </w:rPr>
        <w:t xml:space="preserve">ot </w:t>
      </w:r>
      <w:r w:rsidR="00A9227C" w:rsidRPr="00CA1D49">
        <w:rPr>
          <w:rFonts w:eastAsia="Times New Roman"/>
          <w:b/>
          <w:color w:val="0E0E0E"/>
          <w:u w:val="single"/>
          <w:lang w:eastAsia="en-GB"/>
        </w:rPr>
        <w:t>thought to be diet related</w:t>
      </w:r>
      <w:r w:rsidR="00A9227C" w:rsidRPr="00A9227C">
        <w:rPr>
          <w:rFonts w:eastAsia="Times New Roman"/>
          <w:color w:val="0E0E0E"/>
          <w:lang w:eastAsia="en-GB"/>
        </w:rPr>
        <w:t xml:space="preserve"> </w:t>
      </w:r>
    </w:p>
    <w:p w14:paraId="388DF8C7" w14:textId="77777777" w:rsidR="005B21F6" w:rsidRPr="005B21F6" w:rsidRDefault="00EE5A9B" w:rsidP="005B21F6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eastAsia="Times New Roman"/>
          <w:color w:val="0E0E0E"/>
          <w:lang w:eastAsia="en-GB"/>
        </w:rPr>
        <w:t>Eg</w:t>
      </w:r>
      <w:r w:rsidR="00A9227C">
        <w:rPr>
          <w:rFonts w:eastAsia="Times New Roman"/>
          <w:color w:val="0E0E0E"/>
          <w:lang w:eastAsia="en-GB"/>
        </w:rPr>
        <w:t xml:space="preserve">: Pernicious anaemia, h/o </w:t>
      </w:r>
      <w:r w:rsidR="005B21F6">
        <w:rPr>
          <w:rFonts w:eastAsia="Times New Roman"/>
          <w:color w:val="0E0E0E"/>
          <w:lang w:eastAsia="en-GB"/>
        </w:rPr>
        <w:t xml:space="preserve">total/partial </w:t>
      </w:r>
      <w:r w:rsidR="00A9227C">
        <w:rPr>
          <w:rFonts w:eastAsia="Times New Roman"/>
          <w:color w:val="0E0E0E"/>
          <w:lang w:eastAsia="en-GB"/>
        </w:rPr>
        <w:t xml:space="preserve">gastrectomy or </w:t>
      </w:r>
      <w:r w:rsidR="005B21F6" w:rsidRPr="005B21F6">
        <w:rPr>
          <w:rFonts w:eastAsia="Times New Roman"/>
          <w:color w:val="0E0E0E"/>
          <w:lang w:eastAsia="en-GB"/>
        </w:rPr>
        <w:t>achlorhydria</w:t>
      </w:r>
      <w:r w:rsidR="001946AA">
        <w:rPr>
          <w:rFonts w:eastAsia="Times New Roman"/>
          <w:color w:val="0E0E0E"/>
          <w:lang w:eastAsia="en-GB"/>
        </w:rPr>
        <w:t xml:space="preserve">, inflammatory bowel diseases, </w:t>
      </w:r>
    </w:p>
    <w:p w14:paraId="398DB645" w14:textId="77777777" w:rsidR="00EE5A9B" w:rsidRDefault="00EE5A9B" w:rsidP="00EE5A9B">
      <w:pPr>
        <w:pStyle w:val="NoSpacing"/>
        <w:ind w:left="720"/>
        <w:rPr>
          <w:rFonts w:eastAsia="Times New Roman"/>
          <w:b/>
          <w:color w:val="0E0E0E"/>
          <w:lang w:eastAsia="en-GB"/>
        </w:rPr>
      </w:pPr>
    </w:p>
    <w:p w14:paraId="0C9655F4" w14:textId="77777777" w:rsidR="00A9227C" w:rsidRPr="00EE5A9B" w:rsidRDefault="001946AA" w:rsidP="00EE5A9B">
      <w:pPr>
        <w:pStyle w:val="NoSpacing"/>
        <w:ind w:left="720"/>
        <w:rPr>
          <w:rFonts w:eastAsia="Times New Roman"/>
          <w:b/>
          <w:color w:val="0E0E0E"/>
          <w:lang w:eastAsia="en-GB"/>
        </w:rPr>
      </w:pPr>
      <w:r w:rsidRPr="001946AA">
        <w:rPr>
          <w:rFonts w:eastAsia="Times New Roman"/>
          <w:b/>
          <w:color w:val="0E0E0E"/>
          <w:lang w:eastAsia="en-GB"/>
        </w:rPr>
        <w:t>NICE 2019</w:t>
      </w:r>
      <w:r w:rsidR="00EE5A9B">
        <w:rPr>
          <w:rFonts w:eastAsia="Times New Roman"/>
          <w:b/>
          <w:color w:val="0E0E0E"/>
          <w:lang w:eastAsia="en-GB"/>
        </w:rPr>
        <w:t xml:space="preserve"> </w:t>
      </w:r>
      <w:r w:rsidR="00EE5A9B" w:rsidRPr="00EE5A9B">
        <w:rPr>
          <w:rFonts w:eastAsia="Times New Roman"/>
          <w:b/>
          <w:bCs/>
          <w:color w:val="0E0E0E"/>
          <w:lang w:eastAsia="en-GB"/>
        </w:rPr>
        <w:t>Recommends</w:t>
      </w:r>
      <w:r w:rsidR="00CA1D49">
        <w:rPr>
          <w:rFonts w:eastAsia="Times New Roman"/>
          <w:color w:val="0E0E0E"/>
          <w:lang w:eastAsia="en-GB"/>
        </w:rPr>
        <w:t xml:space="preserve">: </w:t>
      </w:r>
      <w:r w:rsidR="00A9227C">
        <w:rPr>
          <w:rFonts w:eastAsia="Times New Roman"/>
          <w:color w:val="0E0E0E"/>
          <w:lang w:eastAsia="en-GB"/>
        </w:rPr>
        <w:t>A</w:t>
      </w:r>
      <w:r w:rsidR="00A9227C" w:rsidRPr="00A9227C">
        <w:rPr>
          <w:rFonts w:eastAsia="Times New Roman"/>
          <w:color w:val="0E0E0E"/>
          <w:lang w:eastAsia="en-GB"/>
        </w:rPr>
        <w:t>dminister hydroxocobalamin 1 mg intramuscularly every 2–3 months for life. </w:t>
      </w:r>
    </w:p>
    <w:p w14:paraId="7E6C1FCB" w14:textId="77777777" w:rsidR="005B21F6" w:rsidRDefault="005B21F6" w:rsidP="00A9227C">
      <w:pPr>
        <w:pStyle w:val="NoSpacing"/>
        <w:rPr>
          <w:rFonts w:eastAsia="Times New Roman"/>
          <w:b/>
          <w:color w:val="0E0E0E"/>
          <w:lang w:eastAsia="en-GB"/>
        </w:rPr>
      </w:pPr>
    </w:p>
    <w:p w14:paraId="150CAAC1" w14:textId="77777777" w:rsidR="001946AA" w:rsidRDefault="00A9227C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 w:rsidRPr="005B21F6">
        <w:rPr>
          <w:rFonts w:eastAsia="Times New Roman"/>
          <w:b/>
          <w:color w:val="0E0E0E"/>
          <w:lang w:eastAsia="en-GB"/>
        </w:rPr>
        <w:t>BSH advice during COVID</w:t>
      </w:r>
      <w:r w:rsidR="005B21F6">
        <w:rPr>
          <w:rFonts w:eastAsia="Times New Roman"/>
          <w:b/>
          <w:color w:val="0E0E0E"/>
          <w:lang w:eastAsia="en-GB"/>
        </w:rPr>
        <w:t>19</w:t>
      </w:r>
      <w:r w:rsidRPr="005B21F6">
        <w:rPr>
          <w:rFonts w:eastAsia="Times New Roman"/>
          <w:b/>
          <w:color w:val="0E0E0E"/>
          <w:lang w:eastAsia="en-GB"/>
        </w:rPr>
        <w:t xml:space="preserve"> pandemic</w:t>
      </w:r>
      <w:r w:rsidRPr="00CA1D49">
        <w:rPr>
          <w:rFonts w:eastAsia="Times New Roman"/>
          <w:color w:val="0E0E0E"/>
          <w:lang w:eastAsia="en-GB"/>
        </w:rPr>
        <w:t xml:space="preserve">: </w:t>
      </w:r>
    </w:p>
    <w:p w14:paraId="21FF7945" w14:textId="77777777" w:rsidR="001946AA" w:rsidRDefault="00CA1D49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 w:rsidRPr="005B21F6">
        <w:rPr>
          <w:rFonts w:eastAsia="Times New Roman"/>
          <w:color w:val="0E0E0E"/>
          <w:lang w:eastAsia="en-GB"/>
        </w:rPr>
        <w:t xml:space="preserve">Liver stores last for a year and </w:t>
      </w:r>
      <w:r w:rsidR="001946AA">
        <w:rPr>
          <w:rFonts w:eastAsia="Times New Roman"/>
          <w:color w:val="0E0E0E"/>
          <w:lang w:eastAsia="en-GB"/>
        </w:rPr>
        <w:t xml:space="preserve">hence levels of </w:t>
      </w:r>
      <w:r w:rsidRPr="005B21F6">
        <w:rPr>
          <w:rFonts w:eastAsia="Times New Roman"/>
          <w:color w:val="0E0E0E"/>
          <w:lang w:eastAsia="en-GB"/>
        </w:rPr>
        <w:t>B12 will not be affected</w:t>
      </w:r>
      <w:r w:rsidR="001946AA">
        <w:rPr>
          <w:rFonts w:eastAsia="Times New Roman"/>
          <w:color w:val="0E0E0E"/>
          <w:lang w:eastAsia="en-GB"/>
        </w:rPr>
        <w:t xml:space="preserve"> </w:t>
      </w:r>
      <w:r w:rsidRPr="005B21F6">
        <w:rPr>
          <w:rFonts w:eastAsia="Times New Roman"/>
          <w:color w:val="0E0E0E"/>
          <w:lang w:eastAsia="en-GB"/>
        </w:rPr>
        <w:t xml:space="preserve">if one </w:t>
      </w:r>
      <w:r w:rsidR="005B21F6">
        <w:rPr>
          <w:rFonts w:eastAsia="Times New Roman"/>
          <w:color w:val="0E0E0E"/>
          <w:lang w:eastAsia="en-GB"/>
        </w:rPr>
        <w:t xml:space="preserve">to two </w:t>
      </w:r>
      <w:r w:rsidRPr="005B21F6">
        <w:rPr>
          <w:rFonts w:eastAsia="Times New Roman"/>
          <w:color w:val="0E0E0E"/>
          <w:lang w:eastAsia="en-GB"/>
        </w:rPr>
        <w:t>3 monthly injection is omitted</w:t>
      </w:r>
      <w:r w:rsidR="001946AA">
        <w:rPr>
          <w:rFonts w:eastAsia="Times New Roman"/>
          <w:color w:val="0E0E0E"/>
          <w:lang w:eastAsia="en-GB"/>
        </w:rPr>
        <w:t xml:space="preserve"> in patients on maintenance parenteral  B12 supplements. </w:t>
      </w:r>
      <w:r w:rsidR="005B21F6">
        <w:rPr>
          <w:rFonts w:eastAsia="Times New Roman"/>
          <w:color w:val="0E0E0E"/>
          <w:lang w:eastAsia="en-GB"/>
        </w:rPr>
        <w:t xml:space="preserve"> </w:t>
      </w:r>
      <w:r w:rsidR="009D1481">
        <w:rPr>
          <w:rFonts w:eastAsia="Times New Roman"/>
          <w:color w:val="0E0E0E"/>
          <w:lang w:eastAsia="en-GB"/>
        </w:rPr>
        <w:t xml:space="preserve"> </w:t>
      </w:r>
      <w:r w:rsidR="005B21F6">
        <w:rPr>
          <w:rFonts w:eastAsia="Times New Roman"/>
          <w:color w:val="0E0E0E"/>
          <w:lang w:eastAsia="en-GB"/>
        </w:rPr>
        <w:t>BSH supports omitting B12 inj</w:t>
      </w:r>
      <w:r w:rsidR="00EE5A9B">
        <w:rPr>
          <w:rFonts w:eastAsia="Times New Roman"/>
          <w:color w:val="0E0E0E"/>
          <w:lang w:eastAsia="en-GB"/>
        </w:rPr>
        <w:t>ections</w:t>
      </w:r>
      <w:r w:rsidR="005B21F6">
        <w:rPr>
          <w:rFonts w:eastAsia="Times New Roman"/>
          <w:color w:val="0E0E0E"/>
          <w:lang w:eastAsia="en-GB"/>
        </w:rPr>
        <w:t xml:space="preserve"> even in this group</w:t>
      </w:r>
      <w:r w:rsidR="001946AA">
        <w:rPr>
          <w:rFonts w:eastAsia="Times New Roman"/>
          <w:color w:val="0E0E0E"/>
          <w:lang w:eastAsia="en-GB"/>
        </w:rPr>
        <w:t xml:space="preserve"> during COVI</w:t>
      </w:r>
      <w:r w:rsidR="009D1481">
        <w:rPr>
          <w:rFonts w:eastAsia="Times New Roman"/>
          <w:color w:val="0E0E0E"/>
          <w:lang w:eastAsia="en-GB"/>
        </w:rPr>
        <w:t>D</w:t>
      </w:r>
      <w:r w:rsidR="001946AA">
        <w:rPr>
          <w:rFonts w:eastAsia="Times New Roman"/>
          <w:color w:val="0E0E0E"/>
          <w:lang w:eastAsia="en-GB"/>
        </w:rPr>
        <w:t xml:space="preserve">19 outbreak </w:t>
      </w:r>
      <w:r w:rsidR="009D1481">
        <w:rPr>
          <w:rFonts w:eastAsia="Times New Roman"/>
          <w:color w:val="0E0E0E"/>
          <w:lang w:eastAsia="en-GB"/>
        </w:rPr>
        <w:t xml:space="preserve">at least </w:t>
      </w:r>
      <w:r w:rsidR="001946AA">
        <w:rPr>
          <w:rFonts w:eastAsia="Times New Roman"/>
          <w:color w:val="0E0E0E"/>
          <w:lang w:eastAsia="en-GB"/>
        </w:rPr>
        <w:t>until the surge has passed</w:t>
      </w:r>
      <w:r w:rsidR="005B21F6">
        <w:rPr>
          <w:rFonts w:eastAsia="Times New Roman"/>
          <w:color w:val="0E0E0E"/>
          <w:lang w:eastAsia="en-GB"/>
        </w:rPr>
        <w:t>.</w:t>
      </w:r>
      <w:r w:rsidR="001946AA">
        <w:rPr>
          <w:rFonts w:eastAsia="Times New Roman"/>
          <w:color w:val="0E0E0E"/>
          <w:lang w:eastAsia="en-GB"/>
        </w:rPr>
        <w:t xml:space="preserve"> </w:t>
      </w:r>
      <w:r w:rsidR="005B21F6">
        <w:rPr>
          <w:rFonts w:eastAsia="Times New Roman"/>
          <w:color w:val="0E0E0E"/>
          <w:lang w:eastAsia="en-GB"/>
        </w:rPr>
        <w:t xml:space="preserve"> </w:t>
      </w:r>
    </w:p>
    <w:p w14:paraId="60DC06A9" w14:textId="77777777" w:rsidR="009D1481" w:rsidRDefault="009D1481" w:rsidP="00A9227C">
      <w:pPr>
        <w:pStyle w:val="NoSpacing"/>
        <w:rPr>
          <w:rFonts w:eastAsia="Times New Roman"/>
          <w:color w:val="0E0E0E"/>
          <w:lang w:eastAsia="en-GB"/>
        </w:rPr>
      </w:pPr>
    </w:p>
    <w:p w14:paraId="73F85CE1" w14:textId="6F2B0F48" w:rsidR="00A9227C" w:rsidRPr="00CA1D49" w:rsidRDefault="005B21F6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 xml:space="preserve">For patients who </w:t>
      </w:r>
      <w:r w:rsidR="00EE5A9B">
        <w:rPr>
          <w:rFonts w:eastAsia="Times New Roman"/>
          <w:color w:val="0E0E0E"/>
          <w:lang w:eastAsia="en-GB"/>
        </w:rPr>
        <w:t>report</w:t>
      </w:r>
      <w:r>
        <w:rPr>
          <w:rFonts w:eastAsia="Times New Roman"/>
          <w:color w:val="0E0E0E"/>
          <w:lang w:eastAsia="en-GB"/>
        </w:rPr>
        <w:t xml:space="preserve"> </w:t>
      </w:r>
      <w:r w:rsidR="001946AA">
        <w:rPr>
          <w:rFonts w:eastAsia="Times New Roman"/>
          <w:color w:val="0E0E0E"/>
          <w:lang w:eastAsia="en-GB"/>
        </w:rPr>
        <w:t>symptom</w:t>
      </w:r>
      <w:r w:rsidR="00EE5A9B">
        <w:rPr>
          <w:rFonts w:eastAsia="Times New Roman"/>
          <w:color w:val="0E0E0E"/>
          <w:lang w:eastAsia="en-GB"/>
        </w:rPr>
        <w:t>s</w:t>
      </w:r>
      <w:r w:rsidR="001946AA">
        <w:rPr>
          <w:rFonts w:eastAsia="Times New Roman"/>
          <w:color w:val="0E0E0E"/>
          <w:lang w:eastAsia="en-GB"/>
        </w:rPr>
        <w:t xml:space="preserve"> in</w:t>
      </w:r>
      <w:r>
        <w:rPr>
          <w:rFonts w:eastAsia="Times New Roman"/>
          <w:color w:val="0E0E0E"/>
          <w:lang w:eastAsia="en-GB"/>
        </w:rPr>
        <w:t xml:space="preserve"> the </w:t>
      </w:r>
      <w:r w:rsidR="00EE5A9B">
        <w:rPr>
          <w:rFonts w:eastAsia="Times New Roman"/>
          <w:color w:val="0E0E0E"/>
          <w:lang w:eastAsia="en-GB"/>
        </w:rPr>
        <w:t xml:space="preserve">weeks  </w:t>
      </w:r>
      <w:r>
        <w:rPr>
          <w:rFonts w:eastAsia="Times New Roman"/>
          <w:color w:val="0E0E0E"/>
          <w:lang w:eastAsia="en-GB"/>
        </w:rPr>
        <w:t xml:space="preserve">preceding B12 </w:t>
      </w:r>
      <w:r w:rsidR="001946AA">
        <w:rPr>
          <w:rFonts w:eastAsia="Times New Roman"/>
          <w:color w:val="0E0E0E"/>
          <w:lang w:eastAsia="en-GB"/>
        </w:rPr>
        <w:t>injection</w:t>
      </w:r>
      <w:r>
        <w:rPr>
          <w:rFonts w:eastAsia="Times New Roman"/>
          <w:color w:val="0E0E0E"/>
          <w:lang w:eastAsia="en-GB"/>
        </w:rPr>
        <w:t>, oral B12 50-150 mg per day</w:t>
      </w:r>
      <w:r w:rsidR="001946AA">
        <w:rPr>
          <w:rFonts w:eastAsia="Times New Roman"/>
          <w:color w:val="0E0E0E"/>
          <w:lang w:eastAsia="en-GB"/>
        </w:rPr>
        <w:t xml:space="preserve"> </w:t>
      </w:r>
      <w:r w:rsidR="00CE50A0">
        <w:rPr>
          <w:rFonts w:eastAsia="Times New Roman"/>
          <w:color w:val="0E0E0E"/>
          <w:lang w:eastAsia="en-GB"/>
        </w:rPr>
        <w:t>can</w:t>
      </w:r>
      <w:r w:rsidR="001946AA">
        <w:rPr>
          <w:rFonts w:eastAsia="Times New Roman"/>
          <w:color w:val="0E0E0E"/>
          <w:lang w:eastAsia="en-GB"/>
        </w:rPr>
        <w:t xml:space="preserve"> be offered as an alternative</w:t>
      </w:r>
      <w:r w:rsidR="00CE50A0">
        <w:rPr>
          <w:rFonts w:eastAsia="Times New Roman"/>
          <w:color w:val="0E0E0E"/>
          <w:lang w:eastAsia="en-GB"/>
        </w:rPr>
        <w:t xml:space="preserve"> because there will still be sufficient absorption</w:t>
      </w:r>
      <w:bookmarkStart w:id="0" w:name="_GoBack"/>
      <w:bookmarkEnd w:id="0"/>
      <w:r>
        <w:rPr>
          <w:rFonts w:eastAsia="Times New Roman"/>
          <w:color w:val="0E0E0E"/>
          <w:lang w:eastAsia="en-GB"/>
        </w:rPr>
        <w:t>.</w:t>
      </w:r>
      <w:r w:rsidR="00CE50A0">
        <w:rPr>
          <w:rFonts w:eastAsia="Times New Roman"/>
          <w:color w:val="0E0E0E"/>
          <w:lang w:eastAsia="en-GB"/>
        </w:rPr>
        <w:t xml:space="preserve">  </w:t>
      </w:r>
      <w:r w:rsidR="001946AA">
        <w:rPr>
          <w:rFonts w:eastAsia="Times New Roman"/>
          <w:color w:val="0E0E0E"/>
          <w:lang w:eastAsia="en-GB"/>
        </w:rPr>
        <w:t xml:space="preserve">  If still very symptomatic then B12 inj</w:t>
      </w:r>
      <w:r w:rsidR="00EE5A9B">
        <w:rPr>
          <w:rFonts w:eastAsia="Times New Roman"/>
          <w:color w:val="0E0E0E"/>
          <w:lang w:eastAsia="en-GB"/>
        </w:rPr>
        <w:t>ection</w:t>
      </w:r>
      <w:r w:rsidR="001946AA">
        <w:rPr>
          <w:rFonts w:eastAsia="Times New Roman"/>
          <w:color w:val="0E0E0E"/>
          <w:lang w:eastAsia="en-GB"/>
        </w:rPr>
        <w:t xml:space="preserve"> can be given with clear understanding that the interaction with healthcare increases transmission risk of COVID19</w:t>
      </w:r>
      <w:r w:rsidR="00EE5A9B">
        <w:rPr>
          <w:rFonts w:eastAsia="Times New Roman"/>
          <w:color w:val="0E0E0E"/>
          <w:lang w:eastAsia="en-GB"/>
        </w:rPr>
        <w:t xml:space="preserve">. We suggest taking the opportunity to measure B12. </w:t>
      </w:r>
    </w:p>
    <w:p w14:paraId="1A101BA0" w14:textId="77777777" w:rsidR="00A9227C" w:rsidRDefault="00A9227C" w:rsidP="00A9227C">
      <w:pPr>
        <w:pStyle w:val="NoSpacing"/>
        <w:rPr>
          <w:rFonts w:eastAsia="Times New Roman"/>
          <w:b/>
          <w:color w:val="0E0E0E"/>
          <w:lang w:eastAsia="en-GB"/>
        </w:rPr>
      </w:pPr>
    </w:p>
    <w:p w14:paraId="77009493" w14:textId="386AC753" w:rsidR="00CA1D49" w:rsidRDefault="005B21F6" w:rsidP="00A9227C">
      <w:pPr>
        <w:pStyle w:val="NoSpacing"/>
        <w:rPr>
          <w:rFonts w:eastAsia="Times New Roman"/>
          <w:color w:val="0E0E0E"/>
          <w:lang w:eastAsia="en-GB"/>
        </w:rPr>
      </w:pPr>
      <w:r>
        <w:rPr>
          <w:rFonts w:eastAsia="Times New Roman"/>
          <w:b/>
          <w:color w:val="0E0E0E"/>
          <w:u w:val="single"/>
          <w:lang w:eastAsia="en-GB"/>
        </w:rPr>
        <w:t>B12 deficiency t</w:t>
      </w:r>
      <w:r w:rsidR="00A9227C" w:rsidRPr="00CA1D49">
        <w:rPr>
          <w:rFonts w:eastAsia="Times New Roman"/>
          <w:b/>
          <w:color w:val="0E0E0E"/>
          <w:u w:val="single"/>
          <w:lang w:eastAsia="en-GB"/>
        </w:rPr>
        <w:t>hought to be diet related</w:t>
      </w:r>
      <w:r w:rsidR="00A9227C" w:rsidRPr="00A9227C">
        <w:rPr>
          <w:rFonts w:eastAsia="Times New Roman"/>
          <w:color w:val="0E0E0E"/>
          <w:lang w:eastAsia="en-GB"/>
        </w:rPr>
        <w:t> </w:t>
      </w:r>
    </w:p>
    <w:p w14:paraId="6C50C83B" w14:textId="77777777" w:rsidR="00EE5A9B" w:rsidRDefault="00EE5A9B" w:rsidP="00EE5A9B">
      <w:pPr>
        <w:pStyle w:val="NoSpacing"/>
        <w:ind w:firstLine="720"/>
        <w:rPr>
          <w:rFonts w:eastAsia="Times New Roman"/>
          <w:b/>
          <w:color w:val="0E0E0E"/>
          <w:lang w:eastAsia="en-GB"/>
        </w:rPr>
      </w:pPr>
    </w:p>
    <w:p w14:paraId="721E70F2" w14:textId="77777777" w:rsidR="001946AA" w:rsidRPr="001946AA" w:rsidRDefault="001946AA" w:rsidP="00EE5A9B">
      <w:pPr>
        <w:pStyle w:val="NoSpacing"/>
        <w:ind w:firstLine="720"/>
        <w:rPr>
          <w:rFonts w:eastAsia="Times New Roman"/>
          <w:b/>
          <w:color w:val="0E0E0E"/>
          <w:lang w:eastAsia="en-GB"/>
        </w:rPr>
      </w:pPr>
      <w:r w:rsidRPr="001946AA">
        <w:rPr>
          <w:rFonts w:eastAsia="Times New Roman"/>
          <w:b/>
          <w:color w:val="0E0E0E"/>
          <w:lang w:eastAsia="en-GB"/>
        </w:rPr>
        <w:t>NICE 2019</w:t>
      </w:r>
      <w:r w:rsidR="00EE5A9B">
        <w:rPr>
          <w:rFonts w:eastAsia="Times New Roman"/>
          <w:b/>
          <w:color w:val="0E0E0E"/>
          <w:lang w:eastAsia="en-GB"/>
        </w:rPr>
        <w:t xml:space="preserve"> Recommends: </w:t>
      </w:r>
      <w:r w:rsidR="00EE5A9B">
        <w:rPr>
          <w:rFonts w:eastAsia="Times New Roman"/>
          <w:b/>
          <w:color w:val="0E0E0E"/>
          <w:lang w:eastAsia="en-GB"/>
        </w:rPr>
        <w:tab/>
      </w:r>
    </w:p>
    <w:p w14:paraId="14DFFB50" w14:textId="77777777" w:rsidR="00A9227C" w:rsidRPr="00A9227C" w:rsidRDefault="00CA1D49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>A</w:t>
      </w:r>
      <w:r w:rsidR="00A9227C" w:rsidRPr="00A9227C">
        <w:rPr>
          <w:rFonts w:eastAsia="Times New Roman"/>
          <w:color w:val="0E0E0E"/>
          <w:lang w:eastAsia="en-GB"/>
        </w:rPr>
        <w:t xml:space="preserve">dvise people either to take oral cyanocobalamin tablets 50–150 micrograms daily between </w:t>
      </w:r>
      <w:r w:rsidR="00EE5A9B" w:rsidRPr="00A9227C">
        <w:rPr>
          <w:rFonts w:eastAsia="Times New Roman"/>
          <w:color w:val="0E0E0E"/>
          <w:lang w:eastAsia="en-GB"/>
        </w:rPr>
        <w:t>meals or</w:t>
      </w:r>
      <w:r w:rsidR="00A9227C" w:rsidRPr="00A9227C">
        <w:rPr>
          <w:rFonts w:eastAsia="Times New Roman"/>
          <w:color w:val="0E0E0E"/>
          <w:lang w:eastAsia="en-GB"/>
        </w:rPr>
        <w:t xml:space="preserve"> have a </w:t>
      </w:r>
      <w:r w:rsidR="00A9227C" w:rsidRPr="00CA1D49">
        <w:rPr>
          <w:rFonts w:eastAsia="Times New Roman"/>
          <w:color w:val="0E0E0E"/>
          <w:u w:val="single"/>
          <w:lang w:eastAsia="en-GB"/>
        </w:rPr>
        <w:t>twice-yearly</w:t>
      </w:r>
      <w:r w:rsidR="001946AA">
        <w:rPr>
          <w:rFonts w:eastAsia="Times New Roman"/>
          <w:color w:val="0E0E0E"/>
          <w:u w:val="single"/>
          <w:lang w:eastAsia="en-GB"/>
        </w:rPr>
        <w:t xml:space="preserve"> </w:t>
      </w:r>
      <w:r w:rsidR="001946AA">
        <w:rPr>
          <w:rFonts w:eastAsia="Times New Roman"/>
          <w:color w:val="0E0E0E"/>
          <w:lang w:eastAsia="en-GB"/>
        </w:rPr>
        <w:t xml:space="preserve"> H</w:t>
      </w:r>
      <w:r w:rsidR="00A9227C" w:rsidRPr="00A9227C">
        <w:rPr>
          <w:rFonts w:eastAsia="Times New Roman"/>
          <w:color w:val="0E0E0E"/>
          <w:lang w:eastAsia="en-GB"/>
        </w:rPr>
        <w:t>ydroxocobalamin 1 mg injection. </w:t>
      </w:r>
    </w:p>
    <w:p w14:paraId="6FB8E83A" w14:textId="77777777" w:rsidR="00A9227C" w:rsidRPr="00A9227C" w:rsidRDefault="00A9227C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 xml:space="preserve">In vegans, treatment may need to be life-long, whereas in other </w:t>
      </w:r>
      <w:r w:rsidR="00CA1D49">
        <w:rPr>
          <w:rFonts w:eastAsia="Times New Roman"/>
          <w:color w:val="0E0E0E"/>
          <w:lang w:eastAsia="en-GB"/>
        </w:rPr>
        <w:t xml:space="preserve">people with dietary deficiency </w:t>
      </w:r>
      <w:r w:rsidR="00EE5A9B">
        <w:rPr>
          <w:rFonts w:eastAsia="Times New Roman"/>
          <w:color w:val="0E0E0E"/>
          <w:lang w:eastAsia="en-GB"/>
        </w:rPr>
        <w:t>r</w:t>
      </w:r>
      <w:r w:rsidRPr="00A9227C">
        <w:rPr>
          <w:rFonts w:eastAsia="Times New Roman"/>
          <w:color w:val="0E0E0E"/>
          <w:lang w:eastAsia="en-GB"/>
        </w:rPr>
        <w:t>eplacement treatment can be stopped once the vitamin B12 levels have been corrected and the diet has improved.</w:t>
      </w:r>
    </w:p>
    <w:p w14:paraId="23B1F3CE" w14:textId="77777777" w:rsidR="00CA1D49" w:rsidRDefault="00CA1D49" w:rsidP="00A9227C">
      <w:pPr>
        <w:pStyle w:val="NoSpacing"/>
        <w:rPr>
          <w:rFonts w:eastAsia="Times New Roman"/>
          <w:color w:val="0E0E0E"/>
          <w:lang w:eastAsia="en-GB"/>
        </w:rPr>
      </w:pPr>
    </w:p>
    <w:p w14:paraId="7CE2EDB0" w14:textId="77777777" w:rsidR="001946AA" w:rsidRDefault="00CA1D49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 w:rsidRPr="005B21F6">
        <w:rPr>
          <w:rFonts w:eastAsia="Times New Roman"/>
          <w:b/>
          <w:color w:val="0E0E0E"/>
          <w:lang w:eastAsia="en-GB"/>
        </w:rPr>
        <w:t>BSH advice during COVID outbreak</w:t>
      </w:r>
      <w:r>
        <w:rPr>
          <w:rFonts w:eastAsia="Times New Roman"/>
          <w:color w:val="0E0E0E"/>
          <w:lang w:eastAsia="en-GB"/>
        </w:rPr>
        <w:t xml:space="preserve">: </w:t>
      </w:r>
    </w:p>
    <w:p w14:paraId="28C5808F" w14:textId="77777777" w:rsidR="001946AA" w:rsidRDefault="001946AA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 xml:space="preserve">As these patients are B12 replete, </w:t>
      </w:r>
      <w:r w:rsidR="00CA1D49">
        <w:rPr>
          <w:rFonts w:eastAsia="Times New Roman"/>
          <w:color w:val="0E0E0E"/>
          <w:lang w:eastAsia="en-GB"/>
        </w:rPr>
        <w:t>B12 supplement</w:t>
      </w:r>
      <w:r w:rsidR="00EE5A9B">
        <w:rPr>
          <w:rFonts w:eastAsia="Times New Roman"/>
          <w:color w:val="0E0E0E"/>
          <w:lang w:eastAsia="en-GB"/>
        </w:rPr>
        <w:t>s</w:t>
      </w:r>
      <w:r w:rsidR="00CA1D49">
        <w:rPr>
          <w:rFonts w:eastAsia="Times New Roman"/>
          <w:color w:val="0E0E0E"/>
          <w:lang w:eastAsia="en-GB"/>
        </w:rPr>
        <w:t xml:space="preserve"> can be suspended during the outbreak. </w:t>
      </w:r>
      <w:r w:rsidR="005B21F6">
        <w:rPr>
          <w:rFonts w:eastAsia="Times New Roman"/>
          <w:color w:val="0E0E0E"/>
          <w:lang w:eastAsia="en-GB"/>
        </w:rPr>
        <w:t xml:space="preserve"> </w:t>
      </w:r>
    </w:p>
    <w:p w14:paraId="3BE1BF19" w14:textId="77777777" w:rsidR="001946AA" w:rsidRDefault="001946AA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 xml:space="preserve">This </w:t>
      </w:r>
      <w:r w:rsidR="00CA1D49">
        <w:rPr>
          <w:rFonts w:eastAsia="Times New Roman"/>
          <w:color w:val="0E0E0E"/>
          <w:lang w:eastAsia="en-GB"/>
        </w:rPr>
        <w:t xml:space="preserve">group of patients </w:t>
      </w:r>
      <w:r>
        <w:rPr>
          <w:rFonts w:eastAsia="Times New Roman"/>
          <w:color w:val="0E0E0E"/>
          <w:lang w:eastAsia="en-GB"/>
        </w:rPr>
        <w:t>can also be offered</w:t>
      </w:r>
      <w:r w:rsidR="00CA1D49">
        <w:rPr>
          <w:rFonts w:eastAsia="Times New Roman"/>
          <w:color w:val="0E0E0E"/>
          <w:lang w:eastAsia="en-GB"/>
        </w:rPr>
        <w:t xml:space="preserve"> oral B12 50 mcg daily between meals</w:t>
      </w:r>
      <w:r w:rsidR="005B21F6">
        <w:rPr>
          <w:rFonts w:eastAsia="Times New Roman"/>
          <w:color w:val="0E0E0E"/>
          <w:lang w:eastAsia="en-GB"/>
        </w:rPr>
        <w:t xml:space="preserve"> if needed</w:t>
      </w:r>
      <w:r w:rsidR="00CA1D49">
        <w:rPr>
          <w:rFonts w:eastAsia="Times New Roman"/>
          <w:color w:val="0E0E0E"/>
          <w:lang w:eastAsia="en-GB"/>
        </w:rPr>
        <w:t xml:space="preserve">. </w:t>
      </w:r>
      <w:r w:rsidR="005B21F6">
        <w:rPr>
          <w:rFonts w:eastAsia="Times New Roman"/>
          <w:color w:val="0E0E0E"/>
          <w:lang w:eastAsia="en-GB"/>
        </w:rPr>
        <w:t xml:space="preserve">  </w:t>
      </w:r>
    </w:p>
    <w:p w14:paraId="5E6CF10E" w14:textId="7F8EA61F" w:rsidR="00CA1D49" w:rsidRDefault="00EE5A9B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>We s</w:t>
      </w:r>
      <w:r w:rsidR="005B21F6">
        <w:rPr>
          <w:rFonts w:eastAsia="Times New Roman"/>
          <w:color w:val="0E0E0E"/>
          <w:lang w:eastAsia="en-GB"/>
        </w:rPr>
        <w:t xml:space="preserve">uggest </w:t>
      </w:r>
      <w:r>
        <w:rPr>
          <w:rFonts w:eastAsia="Times New Roman"/>
          <w:color w:val="0E0E0E"/>
          <w:lang w:eastAsia="en-GB"/>
        </w:rPr>
        <w:t>measuring</w:t>
      </w:r>
      <w:r w:rsidR="005B21F6">
        <w:rPr>
          <w:rFonts w:eastAsia="Times New Roman"/>
          <w:color w:val="0E0E0E"/>
          <w:lang w:eastAsia="en-GB"/>
        </w:rPr>
        <w:t xml:space="preserve"> serum B12 level before restarting</w:t>
      </w:r>
      <w:r w:rsidR="00CE50A0">
        <w:rPr>
          <w:rFonts w:eastAsia="Times New Roman"/>
          <w:color w:val="0E0E0E"/>
          <w:lang w:eastAsia="en-GB"/>
        </w:rPr>
        <w:t xml:space="preserve"> </w:t>
      </w:r>
      <w:r>
        <w:rPr>
          <w:rFonts w:eastAsia="Times New Roman"/>
          <w:color w:val="0E0E0E"/>
          <w:lang w:eastAsia="en-GB"/>
        </w:rPr>
        <w:t>injected</w:t>
      </w:r>
      <w:r w:rsidR="00C97C57">
        <w:rPr>
          <w:rFonts w:eastAsia="Times New Roman"/>
          <w:color w:val="0E0E0E"/>
          <w:lang w:eastAsia="en-GB"/>
        </w:rPr>
        <w:t xml:space="preserve"> B12 replacement again after the </w:t>
      </w:r>
      <w:r>
        <w:rPr>
          <w:rFonts w:eastAsia="Times New Roman"/>
          <w:color w:val="0E0E0E"/>
          <w:lang w:eastAsia="en-GB"/>
        </w:rPr>
        <w:t>outbreak.</w:t>
      </w:r>
    </w:p>
    <w:p w14:paraId="14689129" w14:textId="77777777" w:rsidR="00CA1D49" w:rsidRDefault="00CA1D49" w:rsidP="00A9227C">
      <w:pPr>
        <w:pStyle w:val="NoSpacing"/>
        <w:rPr>
          <w:rFonts w:eastAsia="Times New Roman"/>
          <w:color w:val="0E0E0E"/>
          <w:lang w:eastAsia="en-GB"/>
        </w:rPr>
      </w:pPr>
    </w:p>
    <w:p w14:paraId="0A959B07" w14:textId="77777777" w:rsidR="00A9227C" w:rsidRPr="00A9227C" w:rsidRDefault="00A9227C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>Give dietary advice about foods that are a good source of vitamin B12</w:t>
      </w:r>
      <w:r w:rsidR="005B21F6">
        <w:rPr>
          <w:rFonts w:eastAsia="Times New Roman"/>
          <w:color w:val="0E0E0E"/>
          <w:lang w:eastAsia="en-GB"/>
        </w:rPr>
        <w:t>:</w:t>
      </w:r>
      <w:r w:rsidRPr="00A9227C">
        <w:rPr>
          <w:rFonts w:eastAsia="Times New Roman"/>
          <w:color w:val="0E0E0E"/>
          <w:lang w:eastAsia="en-GB"/>
        </w:rPr>
        <w:t xml:space="preserve"> </w:t>
      </w:r>
      <w:r w:rsidR="003E36B0">
        <w:rPr>
          <w:rFonts w:eastAsia="Times New Roman"/>
          <w:color w:val="0E0E0E"/>
          <w:lang w:eastAsia="en-GB"/>
        </w:rPr>
        <w:t xml:space="preserve"> </w:t>
      </w:r>
      <w:r w:rsidR="005B21F6">
        <w:rPr>
          <w:rFonts w:eastAsia="Times New Roman"/>
          <w:color w:val="0E0E0E"/>
          <w:lang w:eastAsia="en-GB"/>
        </w:rPr>
        <w:t>G</w:t>
      </w:r>
      <w:r w:rsidRPr="00A9227C">
        <w:rPr>
          <w:rFonts w:eastAsia="Times New Roman"/>
          <w:color w:val="0E0E0E"/>
          <w:lang w:eastAsia="en-GB"/>
        </w:rPr>
        <w:t>ood sources of vitamin B12 include</w:t>
      </w:r>
      <w:r w:rsidR="003E36B0">
        <w:rPr>
          <w:rFonts w:eastAsia="Times New Roman"/>
          <w:color w:val="0E0E0E"/>
          <w:lang w:eastAsia="en-GB"/>
        </w:rPr>
        <w:t xml:space="preserve"> </w:t>
      </w:r>
      <w:r w:rsidRPr="00A9227C">
        <w:rPr>
          <w:rFonts w:eastAsia="Times New Roman"/>
          <w:color w:val="0E0E0E"/>
          <w:lang w:eastAsia="en-GB"/>
        </w:rPr>
        <w:t>Eggs</w:t>
      </w:r>
      <w:r w:rsidR="00EE5A9B">
        <w:rPr>
          <w:rFonts w:eastAsia="Times New Roman"/>
          <w:color w:val="0E0E0E"/>
          <w:lang w:eastAsia="en-GB"/>
        </w:rPr>
        <w:t>, m</w:t>
      </w:r>
      <w:r w:rsidR="00CA1D49" w:rsidRPr="00A9227C">
        <w:rPr>
          <w:rFonts w:eastAsia="Times New Roman"/>
          <w:color w:val="0E0E0E"/>
          <w:lang w:eastAsia="en-GB"/>
        </w:rPr>
        <w:t>eat</w:t>
      </w:r>
      <w:r w:rsidR="00EE5A9B">
        <w:rPr>
          <w:rFonts w:eastAsia="Times New Roman"/>
          <w:color w:val="0E0E0E"/>
          <w:lang w:eastAsia="en-GB"/>
        </w:rPr>
        <w:t>, m</w:t>
      </w:r>
      <w:r w:rsidR="00CA1D49" w:rsidRPr="00A9227C">
        <w:rPr>
          <w:rFonts w:eastAsia="Times New Roman"/>
          <w:color w:val="0E0E0E"/>
          <w:lang w:eastAsia="en-GB"/>
        </w:rPr>
        <w:t>ilk and other dairy products</w:t>
      </w:r>
      <w:r w:rsidR="00EE5A9B">
        <w:rPr>
          <w:rFonts w:eastAsia="Times New Roman"/>
          <w:color w:val="0E0E0E"/>
          <w:lang w:eastAsia="en-GB"/>
        </w:rPr>
        <w:t xml:space="preserve"> and</w:t>
      </w:r>
      <w:r w:rsidR="00CA1D49">
        <w:rPr>
          <w:rFonts w:eastAsia="Times New Roman"/>
          <w:color w:val="0E0E0E"/>
          <w:lang w:eastAsia="en-GB"/>
        </w:rPr>
        <w:t xml:space="preserve"> </w:t>
      </w:r>
      <w:r w:rsidR="00EE5A9B">
        <w:rPr>
          <w:rFonts w:eastAsia="Times New Roman"/>
          <w:color w:val="0E0E0E"/>
          <w:lang w:eastAsia="en-GB"/>
        </w:rPr>
        <w:t>f</w:t>
      </w:r>
      <w:r w:rsidR="00CA1D49">
        <w:rPr>
          <w:rFonts w:eastAsia="Times New Roman"/>
          <w:color w:val="0E0E0E"/>
          <w:lang w:eastAsia="en-GB"/>
        </w:rPr>
        <w:t>ish</w:t>
      </w:r>
      <w:r w:rsidR="00EE5A9B">
        <w:rPr>
          <w:rFonts w:eastAsia="Times New Roman"/>
          <w:color w:val="0E0E0E"/>
          <w:lang w:eastAsia="en-GB"/>
        </w:rPr>
        <w:t xml:space="preserve"> (s</w:t>
      </w:r>
      <w:r w:rsidR="00CA1D49" w:rsidRPr="00A9227C">
        <w:rPr>
          <w:rFonts w:eastAsia="Times New Roman"/>
          <w:color w:val="0E0E0E"/>
          <w:lang w:eastAsia="en-GB"/>
        </w:rPr>
        <w:t>almon and cod</w:t>
      </w:r>
      <w:r w:rsidR="00EE5A9B">
        <w:rPr>
          <w:rFonts w:eastAsia="Times New Roman"/>
          <w:color w:val="0E0E0E"/>
          <w:lang w:eastAsia="en-GB"/>
        </w:rPr>
        <w:t>)</w:t>
      </w:r>
      <w:r w:rsidR="00CA1D49" w:rsidRPr="00A9227C">
        <w:rPr>
          <w:rFonts w:eastAsia="Times New Roman"/>
          <w:color w:val="0E0E0E"/>
          <w:lang w:eastAsia="en-GB"/>
        </w:rPr>
        <w:t>.</w:t>
      </w:r>
      <w:r w:rsidR="003E36B0">
        <w:rPr>
          <w:rFonts w:eastAsia="Times New Roman"/>
          <w:color w:val="0E0E0E"/>
          <w:lang w:eastAsia="en-GB"/>
        </w:rPr>
        <w:t xml:space="preserve"> </w:t>
      </w:r>
      <w:r w:rsidRPr="00A9227C">
        <w:rPr>
          <w:rFonts w:eastAsia="Times New Roman"/>
          <w:color w:val="0E0E0E"/>
          <w:lang w:eastAsia="en-GB"/>
        </w:rPr>
        <w:t>Foods which have been fortified with vitamin B12 (for example some soy products, and some breakfast cereals and breads) are good alternative source</w:t>
      </w:r>
      <w:r w:rsidR="00EE5A9B">
        <w:rPr>
          <w:rFonts w:eastAsia="Times New Roman"/>
          <w:color w:val="0E0E0E"/>
          <w:lang w:eastAsia="en-GB"/>
        </w:rPr>
        <w:t>s</w:t>
      </w:r>
      <w:r w:rsidRPr="00A9227C">
        <w:rPr>
          <w:rFonts w:eastAsia="Times New Roman"/>
          <w:color w:val="0E0E0E"/>
          <w:lang w:eastAsia="en-GB"/>
        </w:rPr>
        <w:t>.</w:t>
      </w:r>
    </w:p>
    <w:p w14:paraId="286919CF" w14:textId="77777777" w:rsidR="00A9227C" w:rsidRPr="00A9227C" w:rsidRDefault="00A9227C" w:rsidP="00A9227C">
      <w:pPr>
        <w:pStyle w:val="NoSpacing"/>
      </w:pPr>
    </w:p>
    <w:p w14:paraId="630FF1DD" w14:textId="77777777" w:rsidR="00CA1D49" w:rsidRDefault="00CA1D49" w:rsidP="00CA1D4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sectPr w:rsidR="00CA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6190"/>
    <w:multiLevelType w:val="hybridMultilevel"/>
    <w:tmpl w:val="5CA4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B4167"/>
    <w:multiLevelType w:val="multilevel"/>
    <w:tmpl w:val="8B0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F5A8A"/>
    <w:multiLevelType w:val="multilevel"/>
    <w:tmpl w:val="434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7C"/>
    <w:rsid w:val="001946AA"/>
    <w:rsid w:val="003E36B0"/>
    <w:rsid w:val="005B21F6"/>
    <w:rsid w:val="009D1481"/>
    <w:rsid w:val="00A9227C"/>
    <w:rsid w:val="00BB33B3"/>
    <w:rsid w:val="00C97C57"/>
    <w:rsid w:val="00CA1D49"/>
    <w:rsid w:val="00CE50A0"/>
    <w:rsid w:val="00DE4902"/>
    <w:rsid w:val="00EE5A9B"/>
    <w:rsid w:val="00F6288A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8BE6"/>
  <w15:docId w15:val="{7F70EFED-71B4-49FC-96CC-098FE28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2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227C"/>
    <w:rPr>
      <w:i/>
      <w:iCs/>
    </w:rPr>
  </w:style>
  <w:style w:type="paragraph" w:styleId="NoSpacing">
    <w:name w:val="No Spacing"/>
    <w:uiPriority w:val="1"/>
    <w:qFormat/>
    <w:rsid w:val="00A9227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A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76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97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8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8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74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44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1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00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29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s.nice.org.uk/anaemia-b12-and-folate-defici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 Mamta - Consultant Haematologist</dc:creator>
  <cp:lastModifiedBy>Laffan, Mike A</cp:lastModifiedBy>
  <cp:revision>3</cp:revision>
  <dcterms:created xsi:type="dcterms:W3CDTF">2020-04-06T16:07:00Z</dcterms:created>
  <dcterms:modified xsi:type="dcterms:W3CDTF">2020-04-06T16:12:00Z</dcterms:modified>
</cp:coreProperties>
</file>