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34A" w14:textId="77777777" w:rsidR="00C102ED" w:rsidRPr="00CC2680" w:rsidRDefault="002F29BC" w:rsidP="00C102ED">
      <w:pPr>
        <w:jc w:val="center"/>
        <w:rPr>
          <w:rFonts w:asciiTheme="minorHAnsi" w:hAnsiTheme="minorHAnsi" w:cstheme="minorHAnsi"/>
          <w:b/>
          <w:sz w:val="28"/>
        </w:rPr>
      </w:pPr>
      <w:r w:rsidRPr="00CC2680">
        <w:rPr>
          <w:rFonts w:asciiTheme="minorHAnsi" w:hAnsiTheme="minorHAnsi" w:cstheme="minorHAnsi"/>
          <w:b/>
          <w:sz w:val="28"/>
        </w:rPr>
        <w:t xml:space="preserve">Guidance from the </w:t>
      </w:r>
      <w:r w:rsidR="00C102ED" w:rsidRPr="00CC2680">
        <w:rPr>
          <w:rFonts w:asciiTheme="minorHAnsi" w:hAnsiTheme="minorHAnsi" w:cstheme="minorHAnsi"/>
          <w:b/>
          <w:sz w:val="28"/>
        </w:rPr>
        <w:t xml:space="preserve">UK ITP Forum </w:t>
      </w:r>
      <w:r w:rsidRPr="00CC2680">
        <w:rPr>
          <w:rFonts w:asciiTheme="minorHAnsi" w:hAnsiTheme="minorHAnsi" w:cstheme="minorHAnsi"/>
          <w:b/>
          <w:sz w:val="28"/>
        </w:rPr>
        <w:t>Working Party on ITP/ITP relapse following Covid-19 vaccination</w:t>
      </w:r>
      <w:r w:rsidR="00C102ED" w:rsidRPr="00CC2680">
        <w:rPr>
          <w:rFonts w:asciiTheme="minorHAnsi" w:hAnsiTheme="minorHAnsi" w:cstheme="minorHAnsi"/>
          <w:b/>
          <w:sz w:val="28"/>
        </w:rPr>
        <w:t xml:space="preserve">. </w:t>
      </w:r>
    </w:p>
    <w:p w14:paraId="5477E34C" w14:textId="77777777" w:rsidR="002F29BC" w:rsidRPr="00CC2680" w:rsidRDefault="002F29BC" w:rsidP="00C102ED">
      <w:pPr>
        <w:rPr>
          <w:rFonts w:asciiTheme="minorHAnsi" w:hAnsiTheme="minorHAnsi" w:cstheme="minorHAnsi"/>
        </w:rPr>
      </w:pPr>
    </w:p>
    <w:p w14:paraId="5477E34D" w14:textId="5156C41B" w:rsidR="00C102ED" w:rsidRPr="00CC2680" w:rsidRDefault="002F29BC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Guidance version 1.0</w:t>
      </w:r>
      <w:r w:rsidRPr="00CC2680">
        <w:rPr>
          <w:rFonts w:asciiTheme="minorHAnsi" w:hAnsiTheme="minorHAnsi" w:cstheme="minorHAnsi"/>
          <w:sz w:val="22"/>
        </w:rPr>
        <w:tab/>
      </w:r>
      <w:r w:rsidR="00C93822">
        <w:rPr>
          <w:rFonts w:asciiTheme="minorHAnsi" w:hAnsiTheme="minorHAnsi" w:cstheme="minorHAnsi"/>
          <w:sz w:val="22"/>
        </w:rPr>
        <w:t>13</w:t>
      </w:r>
      <w:r w:rsidRPr="00CC2680">
        <w:rPr>
          <w:rFonts w:asciiTheme="minorHAnsi" w:hAnsiTheme="minorHAnsi" w:cstheme="minorHAnsi"/>
          <w:sz w:val="22"/>
        </w:rPr>
        <w:t>/</w:t>
      </w:r>
      <w:r w:rsidR="00C93822">
        <w:rPr>
          <w:rFonts w:asciiTheme="minorHAnsi" w:hAnsiTheme="minorHAnsi" w:cstheme="minorHAnsi"/>
          <w:sz w:val="22"/>
        </w:rPr>
        <w:t>08</w:t>
      </w:r>
      <w:r w:rsidRPr="00CC2680">
        <w:rPr>
          <w:rFonts w:asciiTheme="minorHAnsi" w:hAnsiTheme="minorHAnsi" w:cstheme="minorHAnsi"/>
          <w:sz w:val="22"/>
        </w:rPr>
        <w:t>/2021</w:t>
      </w:r>
    </w:p>
    <w:p w14:paraId="5477E34E" w14:textId="77777777" w:rsidR="004A2491" w:rsidRPr="00CC2680" w:rsidRDefault="004A2491" w:rsidP="00C102ED">
      <w:pPr>
        <w:rPr>
          <w:rFonts w:asciiTheme="minorHAnsi" w:hAnsiTheme="minorHAnsi" w:cstheme="minorHAnsi"/>
          <w:sz w:val="22"/>
        </w:rPr>
      </w:pPr>
    </w:p>
    <w:p w14:paraId="5477E34F" w14:textId="77777777" w:rsidR="004A2491" w:rsidRPr="00CC2680" w:rsidRDefault="002F29BC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This is a live document and will be updated as further information comes to light.</w:t>
      </w:r>
    </w:p>
    <w:p w14:paraId="5477E350" w14:textId="77777777" w:rsidR="002F29BC" w:rsidRPr="00CC2680" w:rsidRDefault="002F29BC" w:rsidP="00C102ED">
      <w:pPr>
        <w:rPr>
          <w:rFonts w:asciiTheme="minorHAnsi" w:hAnsiTheme="minorHAnsi" w:cstheme="minorHAnsi"/>
          <w:sz w:val="22"/>
        </w:rPr>
      </w:pPr>
    </w:p>
    <w:p w14:paraId="5477E351" w14:textId="77777777" w:rsidR="00A82790" w:rsidRPr="00CC2680" w:rsidRDefault="00A82790" w:rsidP="00C102ED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>Background</w:t>
      </w:r>
    </w:p>
    <w:p w14:paraId="3B160940" w14:textId="77777777" w:rsidR="00584EB6" w:rsidRDefault="00584EB6" w:rsidP="00C102ED">
      <w:pPr>
        <w:rPr>
          <w:rFonts w:asciiTheme="minorHAnsi" w:hAnsiTheme="minorHAnsi" w:cstheme="minorHAnsi"/>
          <w:sz w:val="22"/>
        </w:rPr>
      </w:pPr>
    </w:p>
    <w:p w14:paraId="5477E353" w14:textId="5AEB578A" w:rsidR="00026836" w:rsidRPr="00CC2680" w:rsidRDefault="00A82790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In February 2021, 20 cases </w:t>
      </w:r>
      <w:r w:rsidR="00F44326" w:rsidRPr="00CC2680">
        <w:rPr>
          <w:rFonts w:asciiTheme="minorHAnsi" w:hAnsiTheme="minorHAnsi" w:cstheme="minorHAnsi"/>
          <w:sz w:val="22"/>
        </w:rPr>
        <w:t xml:space="preserve">(1 fatal) </w:t>
      </w:r>
      <w:r w:rsidRPr="00CC2680">
        <w:rPr>
          <w:rFonts w:asciiTheme="minorHAnsi" w:hAnsiTheme="minorHAnsi" w:cstheme="minorHAnsi"/>
          <w:sz w:val="22"/>
        </w:rPr>
        <w:t xml:space="preserve">of </w:t>
      </w:r>
      <w:r w:rsidR="00584EB6">
        <w:rPr>
          <w:rFonts w:asciiTheme="minorHAnsi" w:hAnsiTheme="minorHAnsi" w:cstheme="minorHAnsi"/>
          <w:sz w:val="22"/>
        </w:rPr>
        <w:t xml:space="preserve">new onset </w:t>
      </w:r>
      <w:r w:rsidRPr="00CC2680">
        <w:rPr>
          <w:rFonts w:asciiTheme="minorHAnsi" w:hAnsiTheme="minorHAnsi" w:cstheme="minorHAnsi"/>
          <w:sz w:val="22"/>
        </w:rPr>
        <w:t>ITP occurring within 1-2 weeks of C</w:t>
      </w:r>
      <w:r w:rsidR="00F44326" w:rsidRPr="00CC2680">
        <w:rPr>
          <w:rFonts w:asciiTheme="minorHAnsi" w:hAnsiTheme="minorHAnsi" w:cstheme="minorHAnsi"/>
          <w:sz w:val="22"/>
        </w:rPr>
        <w:t>ovid-19</w:t>
      </w:r>
      <w:r w:rsidRPr="00CC2680">
        <w:rPr>
          <w:rFonts w:asciiTheme="minorHAnsi" w:hAnsiTheme="minorHAnsi" w:cstheme="minorHAnsi"/>
          <w:sz w:val="22"/>
        </w:rPr>
        <w:t xml:space="preserve"> vaccine (Pfizer, Moderna) were reported in the United States (US) as possible post-vaccine secondary ITP (</w:t>
      </w:r>
      <w:r w:rsidR="008043AE" w:rsidRPr="00CC2680">
        <w:rPr>
          <w:rFonts w:asciiTheme="minorHAnsi" w:hAnsiTheme="minorHAnsi" w:cstheme="minorHAnsi"/>
          <w:sz w:val="22"/>
        </w:rPr>
        <w:t xml:space="preserve">Lee </w:t>
      </w:r>
      <w:r w:rsidR="000D0EEF">
        <w:rPr>
          <w:rFonts w:asciiTheme="minorHAnsi" w:hAnsiTheme="minorHAnsi" w:cstheme="minorHAnsi"/>
          <w:sz w:val="22"/>
        </w:rPr>
        <w:t>et al, AJH 2021</w:t>
      </w:r>
      <w:r w:rsidRPr="00CC2680">
        <w:rPr>
          <w:rFonts w:asciiTheme="minorHAnsi" w:hAnsiTheme="minorHAnsi" w:cstheme="minorHAnsi"/>
          <w:sz w:val="22"/>
        </w:rPr>
        <w:t xml:space="preserve">). </w:t>
      </w:r>
      <w:r w:rsidR="00E41BC7" w:rsidRPr="00CC2680">
        <w:rPr>
          <w:rFonts w:asciiTheme="minorHAnsi" w:hAnsiTheme="minorHAnsi" w:cstheme="minorHAnsi"/>
          <w:sz w:val="22"/>
        </w:rPr>
        <w:t>Establishing c</w:t>
      </w:r>
      <w:r w:rsidRPr="00CC2680">
        <w:rPr>
          <w:rFonts w:asciiTheme="minorHAnsi" w:hAnsiTheme="minorHAnsi" w:cstheme="minorHAnsi"/>
          <w:sz w:val="22"/>
        </w:rPr>
        <w:t>ausality</w:t>
      </w:r>
      <w:r w:rsidR="00E41BC7" w:rsidRPr="00CC2680">
        <w:rPr>
          <w:rFonts w:asciiTheme="minorHAnsi" w:hAnsiTheme="minorHAnsi" w:cstheme="minorHAnsi"/>
          <w:sz w:val="22"/>
        </w:rPr>
        <w:t xml:space="preserve"> can be difficult, especially without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E41BC7" w:rsidRPr="00CC2680">
        <w:rPr>
          <w:rFonts w:asciiTheme="minorHAnsi" w:hAnsiTheme="minorHAnsi" w:cstheme="minorHAnsi"/>
          <w:sz w:val="22"/>
        </w:rPr>
        <w:t>case-control data</w:t>
      </w:r>
      <w:r w:rsidR="00167EC2" w:rsidRPr="00CC2680">
        <w:rPr>
          <w:rFonts w:asciiTheme="minorHAnsi" w:hAnsiTheme="minorHAnsi" w:cstheme="minorHAnsi"/>
          <w:sz w:val="22"/>
        </w:rPr>
        <w:t>.  T</w:t>
      </w:r>
      <w:r w:rsidR="00E41BC7" w:rsidRPr="00CC2680">
        <w:rPr>
          <w:rFonts w:asciiTheme="minorHAnsi" w:hAnsiTheme="minorHAnsi" w:cstheme="minorHAnsi"/>
          <w:sz w:val="22"/>
        </w:rPr>
        <w:t xml:space="preserve">he authors observed that </w:t>
      </w:r>
      <w:r w:rsidR="00F7388A" w:rsidRPr="00CC2680">
        <w:rPr>
          <w:rFonts w:asciiTheme="minorHAnsi" w:hAnsiTheme="minorHAnsi" w:cstheme="minorHAnsi"/>
          <w:sz w:val="22"/>
        </w:rPr>
        <w:t>in</w:t>
      </w:r>
      <w:r w:rsidR="00167EC2" w:rsidRPr="00CC2680">
        <w:rPr>
          <w:rFonts w:asciiTheme="minorHAnsi" w:hAnsiTheme="minorHAnsi" w:cstheme="minorHAnsi"/>
          <w:sz w:val="22"/>
        </w:rPr>
        <w:t xml:space="preserve"> the 2 month</w:t>
      </w:r>
      <w:r w:rsidR="00F44326" w:rsidRPr="00CC2680">
        <w:rPr>
          <w:rFonts w:asciiTheme="minorHAnsi" w:hAnsiTheme="minorHAnsi" w:cstheme="minorHAnsi"/>
          <w:sz w:val="22"/>
        </w:rPr>
        <w:t xml:space="preserve"> reporting period, </w:t>
      </w:r>
      <w:r w:rsidR="00E41BC7" w:rsidRPr="00CC2680">
        <w:rPr>
          <w:rFonts w:asciiTheme="minorHAnsi" w:hAnsiTheme="minorHAnsi" w:cstheme="minorHAnsi"/>
          <w:sz w:val="22"/>
        </w:rPr>
        <w:t xml:space="preserve">the number of cases were not obviously higher than the </w:t>
      </w:r>
      <w:r w:rsidR="00167EC2" w:rsidRPr="00CC2680">
        <w:rPr>
          <w:rFonts w:asciiTheme="minorHAnsi" w:hAnsiTheme="minorHAnsi" w:cstheme="minorHAnsi"/>
          <w:sz w:val="22"/>
        </w:rPr>
        <w:t xml:space="preserve">anticipated </w:t>
      </w:r>
      <w:r w:rsidR="00E41BC7" w:rsidRPr="00CC2680">
        <w:rPr>
          <w:rFonts w:asciiTheme="minorHAnsi" w:hAnsiTheme="minorHAnsi" w:cstheme="minorHAnsi"/>
          <w:sz w:val="22"/>
        </w:rPr>
        <w:t>background rate</w:t>
      </w:r>
      <w:r w:rsidR="00F7388A" w:rsidRPr="00CC2680">
        <w:rPr>
          <w:rFonts w:asciiTheme="minorHAnsi" w:hAnsiTheme="minorHAnsi" w:cstheme="minorHAnsi"/>
          <w:sz w:val="22"/>
        </w:rPr>
        <w:t xml:space="preserve">.  A Scottish case-control study </w:t>
      </w:r>
      <w:r w:rsidR="007436EB" w:rsidRPr="00CC2680">
        <w:rPr>
          <w:rFonts w:asciiTheme="minorHAnsi" w:hAnsiTheme="minorHAnsi" w:cstheme="minorHAnsi"/>
          <w:sz w:val="22"/>
        </w:rPr>
        <w:t xml:space="preserve">of 2.53 million people receiving first dose Covid-19 vaccination </w:t>
      </w:r>
      <w:r w:rsidR="00F7388A" w:rsidRPr="00CC2680">
        <w:rPr>
          <w:rFonts w:asciiTheme="minorHAnsi" w:hAnsiTheme="minorHAnsi" w:cstheme="minorHAnsi"/>
          <w:sz w:val="22"/>
        </w:rPr>
        <w:t xml:space="preserve">found </w:t>
      </w:r>
      <w:r w:rsidR="00B6468C" w:rsidRPr="00CC2680">
        <w:rPr>
          <w:rFonts w:asciiTheme="minorHAnsi" w:hAnsiTheme="minorHAnsi" w:cstheme="minorHAnsi"/>
          <w:sz w:val="22"/>
        </w:rPr>
        <w:t xml:space="preserve">a small increased risk of </w:t>
      </w:r>
      <w:r w:rsidR="00F7388A" w:rsidRPr="00CC2680">
        <w:rPr>
          <w:rFonts w:asciiTheme="minorHAnsi" w:hAnsiTheme="minorHAnsi" w:cstheme="minorHAnsi"/>
          <w:sz w:val="22"/>
        </w:rPr>
        <w:t xml:space="preserve">ITP </w:t>
      </w:r>
      <w:r w:rsidR="00B6468C" w:rsidRPr="00CC2680">
        <w:rPr>
          <w:rFonts w:asciiTheme="minorHAnsi" w:hAnsiTheme="minorHAnsi" w:cstheme="minorHAnsi"/>
          <w:sz w:val="22"/>
        </w:rPr>
        <w:t>with an estimated i</w:t>
      </w:r>
      <w:r w:rsidR="00F7388A" w:rsidRPr="00CC2680">
        <w:rPr>
          <w:rFonts w:asciiTheme="minorHAnsi" w:hAnsiTheme="minorHAnsi" w:cstheme="minorHAnsi"/>
          <w:sz w:val="22"/>
        </w:rPr>
        <w:t xml:space="preserve">ncidence of 1.13 cases per 100,000 first doses of </w:t>
      </w:r>
      <w:r w:rsidR="00B6468C" w:rsidRPr="00CC2680">
        <w:rPr>
          <w:rFonts w:asciiTheme="minorHAnsi" w:hAnsiTheme="minorHAnsi" w:cstheme="minorHAnsi"/>
          <w:sz w:val="22"/>
        </w:rPr>
        <w:t>AstraZeneca, but no</w:t>
      </w:r>
      <w:r w:rsidR="00582B6F">
        <w:rPr>
          <w:rFonts w:asciiTheme="minorHAnsi" w:hAnsiTheme="minorHAnsi" w:cstheme="minorHAnsi"/>
          <w:sz w:val="22"/>
        </w:rPr>
        <w:t xml:space="preserve"> increase after the</w:t>
      </w:r>
      <w:r w:rsidR="00B6468C" w:rsidRPr="00CC2680">
        <w:rPr>
          <w:rFonts w:asciiTheme="minorHAnsi" w:hAnsiTheme="minorHAnsi" w:cstheme="minorHAnsi"/>
          <w:sz w:val="22"/>
        </w:rPr>
        <w:t xml:space="preserve"> Pfizer </w:t>
      </w:r>
      <w:r w:rsidR="00F7388A" w:rsidRPr="00CC2680">
        <w:rPr>
          <w:rFonts w:asciiTheme="minorHAnsi" w:hAnsiTheme="minorHAnsi" w:cstheme="minorHAnsi"/>
          <w:sz w:val="22"/>
        </w:rPr>
        <w:t>vaccine</w:t>
      </w:r>
      <w:r w:rsidR="00B6468C" w:rsidRPr="00CC2680">
        <w:rPr>
          <w:rFonts w:asciiTheme="minorHAnsi" w:hAnsiTheme="minorHAnsi" w:cstheme="minorHAnsi"/>
          <w:sz w:val="22"/>
        </w:rPr>
        <w:t xml:space="preserve"> (</w:t>
      </w:r>
      <w:r w:rsidR="00026836" w:rsidRPr="00CC2680">
        <w:rPr>
          <w:rFonts w:asciiTheme="minorHAnsi" w:hAnsiTheme="minorHAnsi" w:cstheme="minorHAnsi"/>
          <w:sz w:val="22"/>
        </w:rPr>
        <w:t xml:space="preserve">Simpson </w:t>
      </w:r>
      <w:r w:rsidR="004E3474">
        <w:rPr>
          <w:rFonts w:asciiTheme="minorHAnsi" w:hAnsiTheme="minorHAnsi" w:cstheme="minorHAnsi"/>
          <w:sz w:val="22"/>
        </w:rPr>
        <w:t>et al, Nat Med 2021</w:t>
      </w:r>
      <w:r w:rsidR="00B6468C" w:rsidRPr="00CC2680">
        <w:rPr>
          <w:rFonts w:asciiTheme="minorHAnsi" w:hAnsiTheme="minorHAnsi" w:cstheme="minorHAnsi"/>
          <w:sz w:val="22"/>
        </w:rPr>
        <w:t>).  This appear</w:t>
      </w:r>
      <w:r w:rsidR="007436EB" w:rsidRPr="00CC2680">
        <w:rPr>
          <w:rFonts w:asciiTheme="minorHAnsi" w:hAnsiTheme="minorHAnsi" w:cstheme="minorHAnsi"/>
          <w:sz w:val="22"/>
        </w:rPr>
        <w:t>ed</w:t>
      </w:r>
      <w:r w:rsidR="00B6468C" w:rsidRPr="00CC2680">
        <w:rPr>
          <w:rFonts w:asciiTheme="minorHAnsi" w:hAnsiTheme="minorHAnsi" w:cstheme="minorHAnsi"/>
          <w:sz w:val="22"/>
        </w:rPr>
        <w:t xml:space="preserve"> similar to the risk associated with other vaccines such as Hepatitis B, MMR and influenza. </w:t>
      </w:r>
      <w:r w:rsidR="00F7388A" w:rsidRPr="00CC2680">
        <w:rPr>
          <w:rFonts w:asciiTheme="minorHAnsi" w:hAnsiTheme="minorHAnsi" w:cstheme="minorHAnsi"/>
          <w:sz w:val="22"/>
        </w:rPr>
        <w:t xml:space="preserve">  </w:t>
      </w:r>
    </w:p>
    <w:p w14:paraId="5477E354" w14:textId="77777777" w:rsidR="00026836" w:rsidRPr="00CC2680" w:rsidRDefault="00026836" w:rsidP="00C102ED">
      <w:pPr>
        <w:rPr>
          <w:rFonts w:asciiTheme="minorHAnsi" w:hAnsiTheme="minorHAnsi" w:cstheme="minorHAnsi"/>
          <w:sz w:val="22"/>
        </w:rPr>
      </w:pPr>
    </w:p>
    <w:p w14:paraId="5477E355" w14:textId="3E9439E0" w:rsidR="004B43D7" w:rsidRPr="00CC2680" w:rsidRDefault="00F44326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An important clinical question for patients with existing ITP is whether there is a risk of ITP exacerbation/relapse following vaccination.  </w:t>
      </w:r>
      <w:r w:rsidR="0098219E">
        <w:rPr>
          <w:rFonts w:asciiTheme="minorHAnsi" w:hAnsiTheme="minorHAnsi" w:cstheme="minorHAnsi"/>
          <w:sz w:val="22"/>
        </w:rPr>
        <w:t>In one small series of 52 patients, f</w:t>
      </w:r>
      <w:r w:rsidR="00582B6F">
        <w:rPr>
          <w:rFonts w:asciiTheme="minorHAnsi" w:hAnsiTheme="minorHAnsi" w:cstheme="minorHAnsi"/>
          <w:sz w:val="22"/>
        </w:rPr>
        <w:t xml:space="preserve">ollowing the COVID-19 vaccine (predominantly Pfizer/Moderna) </w:t>
      </w:r>
      <w:r w:rsidR="006A07F6" w:rsidRPr="00CC2680">
        <w:rPr>
          <w:rFonts w:asciiTheme="minorHAnsi" w:hAnsiTheme="minorHAnsi" w:cstheme="minorHAnsi"/>
          <w:sz w:val="22"/>
        </w:rPr>
        <w:t xml:space="preserve">platelets fell </w:t>
      </w:r>
      <w:r w:rsidR="0001796E" w:rsidRPr="00CC2680">
        <w:rPr>
          <w:rFonts w:asciiTheme="minorHAnsi" w:hAnsiTheme="minorHAnsi" w:cstheme="minorHAnsi"/>
          <w:sz w:val="22"/>
        </w:rPr>
        <w:t>significantly</w:t>
      </w:r>
      <w:r w:rsidR="0098219E">
        <w:rPr>
          <w:rFonts w:asciiTheme="minorHAnsi" w:hAnsiTheme="minorHAnsi" w:cstheme="minorHAnsi"/>
          <w:sz w:val="22"/>
        </w:rPr>
        <w:t xml:space="preserve"> in 6/52 patients (12%) by</w:t>
      </w:r>
      <w:r w:rsidR="006A07F6" w:rsidRPr="00CC2680">
        <w:rPr>
          <w:rFonts w:asciiTheme="minorHAnsi" w:hAnsiTheme="minorHAnsi" w:cstheme="minorHAnsi"/>
          <w:sz w:val="22"/>
        </w:rPr>
        <w:t xml:space="preserve"> to</w:t>
      </w:r>
      <w:r w:rsidR="00582B6F">
        <w:rPr>
          <w:rFonts w:asciiTheme="minorHAnsi" w:hAnsiTheme="minorHAnsi" w:cstheme="minorHAnsi"/>
          <w:sz w:val="22"/>
        </w:rPr>
        <w:t xml:space="preserve"> a level of</w:t>
      </w:r>
      <w:r w:rsidR="006A07F6" w:rsidRPr="00CC2680">
        <w:rPr>
          <w:rFonts w:asciiTheme="minorHAnsi" w:hAnsiTheme="minorHAnsi" w:cstheme="minorHAnsi"/>
          <w:sz w:val="22"/>
        </w:rPr>
        <w:t xml:space="preserve"> 1-17 x 10</w:t>
      </w:r>
      <w:r w:rsidR="006A07F6" w:rsidRPr="00CC2680">
        <w:rPr>
          <w:rFonts w:asciiTheme="minorHAnsi" w:hAnsiTheme="minorHAnsi" w:cstheme="minorHAnsi"/>
          <w:sz w:val="22"/>
          <w:vertAlign w:val="superscript"/>
        </w:rPr>
        <w:t>9</w:t>
      </w:r>
      <w:r w:rsidR="006A07F6" w:rsidRPr="00CC2680">
        <w:rPr>
          <w:rFonts w:asciiTheme="minorHAnsi" w:hAnsiTheme="minorHAnsi" w:cstheme="minorHAnsi"/>
          <w:sz w:val="22"/>
        </w:rPr>
        <w:t>/L, by day 2-5</w:t>
      </w:r>
      <w:r w:rsidR="0098219E">
        <w:rPr>
          <w:rFonts w:asciiTheme="minorHAnsi" w:hAnsiTheme="minorHAnsi" w:cstheme="minorHAnsi"/>
          <w:sz w:val="22"/>
        </w:rPr>
        <w:t>;</w:t>
      </w:r>
      <w:r w:rsidR="006A07F6" w:rsidRPr="00CC2680">
        <w:rPr>
          <w:rFonts w:asciiTheme="minorHAnsi" w:hAnsiTheme="minorHAnsi" w:cstheme="minorHAnsi"/>
          <w:sz w:val="22"/>
        </w:rPr>
        <w:t xml:space="preserve"> 5</w:t>
      </w:r>
      <w:r w:rsidR="0098219E">
        <w:rPr>
          <w:rFonts w:asciiTheme="minorHAnsi" w:hAnsiTheme="minorHAnsi" w:cstheme="minorHAnsi"/>
          <w:sz w:val="22"/>
        </w:rPr>
        <w:t xml:space="preserve"> of the </w:t>
      </w:r>
      <w:r w:rsidR="006A07F6" w:rsidRPr="00CC2680">
        <w:rPr>
          <w:rFonts w:asciiTheme="minorHAnsi" w:hAnsiTheme="minorHAnsi" w:cstheme="minorHAnsi"/>
          <w:sz w:val="22"/>
        </w:rPr>
        <w:t xml:space="preserve">6 </w:t>
      </w:r>
      <w:r w:rsidR="0098219E">
        <w:rPr>
          <w:rFonts w:asciiTheme="minorHAnsi" w:hAnsiTheme="minorHAnsi" w:cstheme="minorHAnsi"/>
          <w:sz w:val="22"/>
        </w:rPr>
        <w:t xml:space="preserve">patients </w:t>
      </w:r>
      <w:r w:rsidR="006A07F6" w:rsidRPr="00CC2680">
        <w:rPr>
          <w:rFonts w:asciiTheme="minorHAnsi" w:hAnsiTheme="minorHAnsi" w:cstheme="minorHAnsi"/>
          <w:sz w:val="22"/>
        </w:rPr>
        <w:t>responded to prednisolone ± IVIg (</w:t>
      </w:r>
      <w:proofErr w:type="spellStart"/>
      <w:r w:rsidR="006A07F6" w:rsidRPr="00CC2680">
        <w:rPr>
          <w:rFonts w:asciiTheme="minorHAnsi" w:hAnsiTheme="minorHAnsi" w:cstheme="minorHAnsi"/>
          <w:sz w:val="22"/>
        </w:rPr>
        <w:t>Kuter</w:t>
      </w:r>
      <w:proofErr w:type="spellEnd"/>
      <w:r w:rsidR="006A07F6" w:rsidRPr="00CC2680">
        <w:rPr>
          <w:rFonts w:asciiTheme="minorHAnsi" w:hAnsiTheme="minorHAnsi" w:cstheme="minorHAnsi"/>
          <w:sz w:val="22"/>
        </w:rPr>
        <w:t xml:space="preserve"> </w:t>
      </w:r>
      <w:r w:rsidR="00930195">
        <w:rPr>
          <w:rFonts w:asciiTheme="minorHAnsi" w:hAnsiTheme="minorHAnsi" w:cstheme="minorHAnsi"/>
          <w:sz w:val="22"/>
        </w:rPr>
        <w:t>et al, BJH 2021</w:t>
      </w:r>
      <w:r w:rsidR="006A07F6" w:rsidRPr="00CC2680">
        <w:rPr>
          <w:rFonts w:asciiTheme="minorHAnsi" w:hAnsiTheme="minorHAnsi" w:cstheme="minorHAnsi"/>
          <w:sz w:val="22"/>
        </w:rPr>
        <w:t xml:space="preserve">).  </w:t>
      </w:r>
    </w:p>
    <w:p w14:paraId="5477E356" w14:textId="77777777" w:rsidR="004B43D7" w:rsidRPr="00CC2680" w:rsidRDefault="004B43D7" w:rsidP="00C102ED">
      <w:pPr>
        <w:rPr>
          <w:rFonts w:asciiTheme="minorHAnsi" w:hAnsiTheme="minorHAnsi" w:cstheme="minorHAnsi"/>
          <w:sz w:val="22"/>
        </w:rPr>
      </w:pPr>
    </w:p>
    <w:p w14:paraId="5477E357" w14:textId="77777777" w:rsidR="004A2491" w:rsidRPr="00CC2680" w:rsidRDefault="00736577" w:rsidP="00C102ED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 xml:space="preserve">Reporting </w:t>
      </w:r>
      <w:r w:rsidR="001C5E04" w:rsidRPr="00CC2680">
        <w:rPr>
          <w:rFonts w:asciiTheme="minorHAnsi" w:hAnsiTheme="minorHAnsi" w:cstheme="minorHAnsi"/>
          <w:b/>
          <w:color w:val="0070C0"/>
        </w:rPr>
        <w:t>outcomes</w:t>
      </w:r>
      <w:r w:rsidRPr="00CC2680">
        <w:rPr>
          <w:rFonts w:asciiTheme="minorHAnsi" w:hAnsiTheme="minorHAnsi" w:cstheme="minorHAnsi"/>
          <w:b/>
          <w:color w:val="0070C0"/>
        </w:rPr>
        <w:t xml:space="preserve"> to Public Health England (PHE)</w:t>
      </w:r>
    </w:p>
    <w:p w14:paraId="5477E358" w14:textId="77777777" w:rsidR="00736577" w:rsidRPr="00CC2680" w:rsidRDefault="00736577" w:rsidP="00C102ED">
      <w:pPr>
        <w:rPr>
          <w:rFonts w:asciiTheme="minorHAnsi" w:hAnsiTheme="minorHAnsi" w:cstheme="minorHAnsi"/>
          <w:sz w:val="22"/>
        </w:rPr>
      </w:pPr>
    </w:p>
    <w:p w14:paraId="5477E359" w14:textId="77777777" w:rsidR="00C50259" w:rsidRPr="00CC2680" w:rsidRDefault="00736577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Cases of ITP and relapse of ITP following vaccination should be reported to PHE on the following link: </w:t>
      </w:r>
      <w:hyperlink r:id="rId8" w:history="1">
        <w:r w:rsidRPr="00CC2680">
          <w:rPr>
            <w:rStyle w:val="Hyperlink"/>
            <w:rFonts w:asciiTheme="minorHAnsi" w:hAnsiTheme="minorHAnsi" w:cstheme="minorHAnsi"/>
            <w:sz w:val="22"/>
          </w:rPr>
          <w:t>https://snapsurvey.phe.org.uk/snapwebhost/s.asp?k=162574113593</w:t>
        </w:r>
      </w:hyperlink>
      <w:r w:rsidR="001F502B" w:rsidRPr="00CC2680">
        <w:rPr>
          <w:rFonts w:asciiTheme="minorHAnsi" w:hAnsiTheme="minorHAnsi" w:cstheme="minorHAnsi"/>
          <w:sz w:val="22"/>
        </w:rPr>
        <w:t xml:space="preserve"> </w:t>
      </w:r>
    </w:p>
    <w:p w14:paraId="5477E35A" w14:textId="77777777" w:rsidR="00C50259" w:rsidRPr="00CC2680" w:rsidRDefault="00C50259" w:rsidP="00C102ED">
      <w:pPr>
        <w:rPr>
          <w:rFonts w:asciiTheme="minorHAnsi" w:hAnsiTheme="minorHAnsi" w:cstheme="minorHAnsi"/>
          <w:sz w:val="22"/>
        </w:rPr>
      </w:pPr>
    </w:p>
    <w:p w14:paraId="5477E35B" w14:textId="2B6FB1FF" w:rsidR="00736577" w:rsidRPr="00CC2680" w:rsidRDefault="00C50259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N</w:t>
      </w:r>
      <w:r w:rsidR="001F502B" w:rsidRPr="00CC2680">
        <w:rPr>
          <w:rFonts w:asciiTheme="minorHAnsi" w:hAnsiTheme="minorHAnsi" w:cstheme="minorHAnsi"/>
          <w:sz w:val="22"/>
        </w:rPr>
        <w:t xml:space="preserve">ote that this is different </w:t>
      </w:r>
      <w:r w:rsidRPr="00CC2680">
        <w:rPr>
          <w:rFonts w:asciiTheme="minorHAnsi" w:hAnsiTheme="minorHAnsi" w:cstheme="minorHAnsi"/>
          <w:sz w:val="22"/>
        </w:rPr>
        <w:t xml:space="preserve">from </w:t>
      </w:r>
      <w:r w:rsidR="0017562E">
        <w:rPr>
          <w:rFonts w:asciiTheme="minorHAnsi" w:hAnsiTheme="minorHAnsi" w:cstheme="minorHAnsi"/>
          <w:sz w:val="22"/>
        </w:rPr>
        <w:t>the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8F411E" w:rsidRPr="00CC2680">
        <w:rPr>
          <w:rFonts w:asciiTheme="minorHAnsi" w:hAnsiTheme="minorHAnsi" w:cstheme="minorHAnsi"/>
          <w:sz w:val="22"/>
        </w:rPr>
        <w:t xml:space="preserve">VITT </w:t>
      </w:r>
      <w:r w:rsidR="00564EC6">
        <w:rPr>
          <w:rFonts w:asciiTheme="minorHAnsi" w:hAnsiTheme="minorHAnsi" w:cstheme="minorHAnsi"/>
          <w:sz w:val="22"/>
        </w:rPr>
        <w:t>reporting form</w:t>
      </w:r>
      <w:r w:rsidR="008F411E" w:rsidRPr="00CC2680">
        <w:rPr>
          <w:rFonts w:asciiTheme="minorHAnsi" w:hAnsiTheme="minorHAnsi" w:cstheme="minorHAnsi"/>
          <w:sz w:val="22"/>
        </w:rPr>
        <w:t xml:space="preserve"> (</w:t>
      </w:r>
      <w:hyperlink r:id="rId9" w:history="1">
        <w:r w:rsidR="008F411E" w:rsidRPr="00CC2680">
          <w:rPr>
            <w:rStyle w:val="Hyperlink"/>
            <w:rFonts w:asciiTheme="minorHAnsi" w:hAnsiTheme="minorHAnsi" w:cstheme="minorHAnsi"/>
            <w:sz w:val="22"/>
          </w:rPr>
          <w:t>https://cutt.ly/haem_AE</w:t>
        </w:r>
      </w:hyperlink>
      <w:r w:rsidR="0007541E" w:rsidRPr="00CC2680">
        <w:rPr>
          <w:rFonts w:asciiTheme="minorHAnsi" w:hAnsiTheme="minorHAnsi" w:cstheme="minorHAnsi"/>
          <w:sz w:val="22"/>
        </w:rPr>
        <w:t xml:space="preserve">) </w:t>
      </w:r>
      <w:r w:rsidR="00564EC6">
        <w:rPr>
          <w:rFonts w:asciiTheme="minorHAnsi" w:hAnsiTheme="minorHAnsi" w:cstheme="minorHAnsi"/>
          <w:sz w:val="22"/>
        </w:rPr>
        <w:t xml:space="preserve"> </w:t>
      </w:r>
      <w:r w:rsidR="0047603D">
        <w:rPr>
          <w:rFonts w:asciiTheme="minorHAnsi" w:hAnsiTheme="minorHAnsi" w:cstheme="minorHAnsi"/>
          <w:sz w:val="22"/>
        </w:rPr>
        <w:t>(</w:t>
      </w:r>
      <w:r w:rsidR="0005779C">
        <w:rPr>
          <w:rFonts w:asciiTheme="minorHAnsi" w:hAnsiTheme="minorHAnsi" w:cstheme="minorHAnsi"/>
          <w:sz w:val="22"/>
        </w:rPr>
        <w:t xml:space="preserve">but </w:t>
      </w:r>
      <w:r w:rsidR="00564EC6">
        <w:rPr>
          <w:rFonts w:asciiTheme="minorHAnsi" w:hAnsiTheme="minorHAnsi" w:cstheme="minorHAnsi"/>
          <w:sz w:val="22"/>
        </w:rPr>
        <w:t>any</w:t>
      </w:r>
      <w:r w:rsidR="00564EC6" w:rsidRPr="00CC2680">
        <w:rPr>
          <w:rFonts w:asciiTheme="minorHAnsi" w:hAnsiTheme="minorHAnsi" w:cstheme="minorHAnsi"/>
          <w:sz w:val="22"/>
        </w:rPr>
        <w:t xml:space="preserve"> </w:t>
      </w:r>
      <w:r w:rsidR="0007541E" w:rsidRPr="00CC2680">
        <w:rPr>
          <w:rFonts w:asciiTheme="minorHAnsi" w:hAnsiTheme="minorHAnsi" w:cstheme="minorHAnsi"/>
          <w:sz w:val="22"/>
        </w:rPr>
        <w:t xml:space="preserve">ITP information </w:t>
      </w:r>
      <w:r w:rsidR="0047603D">
        <w:rPr>
          <w:rFonts w:asciiTheme="minorHAnsi" w:hAnsiTheme="minorHAnsi" w:cstheme="minorHAnsi"/>
          <w:sz w:val="22"/>
        </w:rPr>
        <w:t>already</w:t>
      </w:r>
      <w:r w:rsidR="0047603D" w:rsidRPr="00CC2680">
        <w:rPr>
          <w:rFonts w:asciiTheme="minorHAnsi" w:hAnsiTheme="minorHAnsi" w:cstheme="minorHAnsi"/>
          <w:sz w:val="22"/>
        </w:rPr>
        <w:t xml:space="preserve"> </w:t>
      </w:r>
      <w:r w:rsidR="00564EC6">
        <w:rPr>
          <w:rFonts w:asciiTheme="minorHAnsi" w:hAnsiTheme="minorHAnsi" w:cstheme="minorHAnsi"/>
          <w:sz w:val="22"/>
        </w:rPr>
        <w:t xml:space="preserve">reported using the VITT link will be </w:t>
      </w:r>
      <w:r w:rsidR="00835FA3">
        <w:rPr>
          <w:rFonts w:asciiTheme="minorHAnsi" w:hAnsiTheme="minorHAnsi" w:cstheme="minorHAnsi"/>
          <w:sz w:val="22"/>
        </w:rPr>
        <w:t>captured</w:t>
      </w:r>
      <w:r w:rsidR="0047603D">
        <w:rPr>
          <w:rFonts w:asciiTheme="minorHAnsi" w:hAnsiTheme="minorHAnsi" w:cstheme="minorHAnsi"/>
          <w:sz w:val="22"/>
        </w:rPr>
        <w:t>)</w:t>
      </w:r>
      <w:r w:rsidR="0007541E" w:rsidRPr="00CC2680">
        <w:rPr>
          <w:rFonts w:asciiTheme="minorHAnsi" w:hAnsiTheme="minorHAnsi" w:cstheme="minorHAnsi"/>
          <w:sz w:val="22"/>
        </w:rPr>
        <w:t>.</w:t>
      </w:r>
    </w:p>
    <w:p w14:paraId="5477E35C" w14:textId="77777777" w:rsidR="001C5E04" w:rsidRPr="00CC2680" w:rsidRDefault="001C5E04" w:rsidP="00C102ED">
      <w:pPr>
        <w:rPr>
          <w:rFonts w:asciiTheme="minorHAnsi" w:hAnsiTheme="minorHAnsi" w:cstheme="minorHAnsi"/>
          <w:sz w:val="22"/>
        </w:rPr>
      </w:pPr>
    </w:p>
    <w:p w14:paraId="5477E35D" w14:textId="77777777" w:rsidR="004B43D7" w:rsidRPr="00CC2680" w:rsidRDefault="001C5E04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By reporting the outcomes of </w:t>
      </w:r>
      <w:r w:rsidR="004B43D7" w:rsidRPr="00CC2680">
        <w:rPr>
          <w:rFonts w:asciiTheme="minorHAnsi" w:hAnsiTheme="minorHAnsi" w:cstheme="minorHAnsi"/>
          <w:sz w:val="22"/>
        </w:rPr>
        <w:t xml:space="preserve">this </w:t>
      </w:r>
      <w:r w:rsidRPr="00CC2680">
        <w:rPr>
          <w:rFonts w:asciiTheme="minorHAnsi" w:hAnsiTheme="minorHAnsi" w:cstheme="minorHAnsi"/>
          <w:sz w:val="22"/>
        </w:rPr>
        <w:t>serious post-vaccine complication</w:t>
      </w:r>
      <w:r w:rsidR="004B43D7" w:rsidRPr="00CC2680">
        <w:rPr>
          <w:rFonts w:asciiTheme="minorHAnsi" w:hAnsiTheme="minorHAnsi" w:cstheme="minorHAnsi"/>
          <w:sz w:val="22"/>
        </w:rPr>
        <w:t>, we will learn more about this condition including natural history, differences by vaccine type and dose, treatment response and importantly, relapse risk with subsequent Covid-19 revaccination.  These findings will directly inform future updates of the guidance below.</w:t>
      </w:r>
    </w:p>
    <w:p w14:paraId="5477E35E" w14:textId="77777777" w:rsidR="004B43D7" w:rsidRPr="00CC2680" w:rsidRDefault="004B43D7" w:rsidP="00C102ED">
      <w:pPr>
        <w:rPr>
          <w:rFonts w:asciiTheme="minorHAnsi" w:hAnsiTheme="minorHAnsi" w:cstheme="minorHAnsi"/>
          <w:sz w:val="22"/>
        </w:rPr>
      </w:pPr>
    </w:p>
    <w:p w14:paraId="5477E35F" w14:textId="77777777" w:rsidR="004B43D7" w:rsidRPr="00CC2680" w:rsidRDefault="004B43D7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In order to focus on clinically important cases of ITP/ITP relapse, the inclusion criteria are:</w:t>
      </w:r>
    </w:p>
    <w:p w14:paraId="5477E360" w14:textId="77777777" w:rsidR="004B43D7" w:rsidRPr="00CC2680" w:rsidRDefault="003B7BB8" w:rsidP="004B4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Adults age 18 or more</w:t>
      </w:r>
    </w:p>
    <w:p w14:paraId="5477E361" w14:textId="4611D60A" w:rsidR="004B43D7" w:rsidRPr="00CC2680" w:rsidRDefault="004B43D7" w:rsidP="00E55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Diagnosis of ITP made by a clinical haematologist, based on history, examination, full blood count and blood film examination consistent with international consensus definition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E553D7" w:rsidRPr="00E553D7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>).  Cases may be primary or secondary</w:t>
      </w:r>
    </w:p>
    <w:p w14:paraId="5477E362" w14:textId="203E01B4" w:rsidR="004B43D7" w:rsidRPr="00CC2680" w:rsidRDefault="004B43D7" w:rsidP="004B4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Patients who developed a significant new* episode of ITP within </w:t>
      </w:r>
      <w:r w:rsidR="00E553D7">
        <w:rPr>
          <w:rFonts w:asciiTheme="minorHAnsi" w:hAnsiTheme="minorHAnsi" w:cstheme="minorHAnsi"/>
          <w:sz w:val="22"/>
        </w:rPr>
        <w:t>30</w:t>
      </w:r>
      <w:r w:rsidRPr="00CC2680">
        <w:rPr>
          <w:rFonts w:asciiTheme="minorHAnsi" w:hAnsiTheme="minorHAnsi" w:cstheme="minorHAnsi"/>
          <w:sz w:val="22"/>
        </w:rPr>
        <w:t xml:space="preserve"> days of COVID-19 vaccination, or developed a significant relapse** of existing ITP</w:t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</w:p>
    <w:p w14:paraId="5477E363" w14:textId="77777777" w:rsidR="004B43D7" w:rsidRPr="00CC2680" w:rsidRDefault="004B43D7" w:rsidP="004B43D7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* significant new episode defined as platelets </w:t>
      </w:r>
      <w:r w:rsidRPr="00E553D7">
        <w:rPr>
          <w:rFonts w:asciiTheme="minorHAnsi" w:hAnsiTheme="minorHAnsi" w:cstheme="minorHAnsi"/>
          <w:b/>
          <w:bCs/>
          <w:sz w:val="22"/>
        </w:rPr>
        <w:t>&lt;30</w:t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</w:p>
    <w:p w14:paraId="5477E364" w14:textId="77777777" w:rsidR="003B7BB8" w:rsidRPr="00CC2680" w:rsidRDefault="004B43D7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** significant relapse defined as platelets </w:t>
      </w:r>
      <w:r w:rsidRPr="00E553D7">
        <w:rPr>
          <w:rFonts w:asciiTheme="minorHAnsi" w:hAnsiTheme="minorHAnsi" w:cstheme="minorHAnsi"/>
          <w:b/>
          <w:bCs/>
          <w:sz w:val="22"/>
        </w:rPr>
        <w:t>&lt;30</w:t>
      </w:r>
      <w:r w:rsidRPr="00CC2680">
        <w:rPr>
          <w:rFonts w:asciiTheme="minorHAnsi" w:hAnsiTheme="minorHAnsi" w:cstheme="minorHAnsi"/>
          <w:sz w:val="22"/>
        </w:rPr>
        <w:t xml:space="preserve"> and a fall from baseline pre-vaccine platelet count of 50% or more</w:t>
      </w:r>
      <w:r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</w:p>
    <w:p w14:paraId="5477E365" w14:textId="770C578E" w:rsidR="003B7BB8" w:rsidRPr="00CC2680" w:rsidRDefault="00A82382" w:rsidP="005A144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M</w:t>
      </w:r>
      <w:r w:rsidR="005A1448" w:rsidRPr="00CC2680">
        <w:rPr>
          <w:rFonts w:asciiTheme="minorHAnsi" w:hAnsiTheme="minorHAnsi" w:cstheme="minorHAnsi"/>
          <w:sz w:val="22"/>
        </w:rPr>
        <w:t>inimum follow-up of 12 weeks but also, if ITP is after first dose, give adequate duration of follow-up to determine impact of 2nd vaccine</w:t>
      </w:r>
      <w:r w:rsidR="00DC1B86">
        <w:rPr>
          <w:rFonts w:asciiTheme="minorHAnsi" w:hAnsiTheme="minorHAnsi" w:cstheme="minorHAnsi"/>
          <w:sz w:val="22"/>
        </w:rPr>
        <w:t xml:space="preserve"> on ITP</w:t>
      </w:r>
      <w:r w:rsidR="005A1448" w:rsidRPr="00CC2680">
        <w:rPr>
          <w:rFonts w:asciiTheme="minorHAnsi" w:hAnsiTheme="minorHAnsi" w:cstheme="minorHAnsi"/>
          <w:sz w:val="22"/>
        </w:rPr>
        <w:t>: either decision to defer, or received 2nd dose and at least 4 weeks FU post 2nd Vaccine with FBC checks</w:t>
      </w:r>
    </w:p>
    <w:p w14:paraId="5477E366" w14:textId="77777777" w:rsidR="005A1448" w:rsidRPr="00CC2680" w:rsidRDefault="005A1448" w:rsidP="005A1448">
      <w:pPr>
        <w:rPr>
          <w:rFonts w:asciiTheme="minorHAnsi" w:hAnsiTheme="minorHAnsi" w:cstheme="minorHAnsi"/>
          <w:sz w:val="22"/>
        </w:rPr>
      </w:pPr>
    </w:p>
    <w:p w14:paraId="5477E367" w14:textId="77777777" w:rsidR="005A1448" w:rsidRPr="00CC2680" w:rsidRDefault="005A1448" w:rsidP="005A1448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>Guidance on ITP/ITP relapse post following Covid-19 vaccination</w:t>
      </w:r>
    </w:p>
    <w:p w14:paraId="5477E368" w14:textId="77777777" w:rsidR="005A1448" w:rsidRPr="00CC2680" w:rsidRDefault="005A1448" w:rsidP="005A1448">
      <w:pPr>
        <w:rPr>
          <w:rFonts w:asciiTheme="minorHAnsi" w:hAnsiTheme="minorHAnsi" w:cstheme="minorHAnsi"/>
          <w:sz w:val="22"/>
        </w:rPr>
      </w:pPr>
    </w:p>
    <w:p w14:paraId="5477E369" w14:textId="77777777" w:rsidR="008F411E" w:rsidRPr="00CC2680" w:rsidRDefault="008F41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Diagnosis</w:t>
      </w:r>
    </w:p>
    <w:p w14:paraId="5477E36A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6B" w14:textId="0DCD1968" w:rsidR="005A1448" w:rsidRPr="00CC2680" w:rsidRDefault="003A6BEF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The diagnosis of </w:t>
      </w:r>
      <w:r w:rsidR="005A1448" w:rsidRPr="00CC2680">
        <w:rPr>
          <w:rFonts w:asciiTheme="minorHAnsi" w:hAnsiTheme="minorHAnsi" w:cstheme="minorHAnsi"/>
          <w:sz w:val="22"/>
        </w:rPr>
        <w:t>ITP</w:t>
      </w:r>
      <w:r w:rsidRPr="00CC2680">
        <w:rPr>
          <w:rFonts w:asciiTheme="minorHAnsi" w:hAnsiTheme="minorHAnsi" w:cstheme="minorHAnsi"/>
          <w:sz w:val="22"/>
        </w:rPr>
        <w:t xml:space="preserve"> can be made</w:t>
      </w:r>
      <w:r w:rsidR="005A1448" w:rsidRPr="00CC2680">
        <w:rPr>
          <w:rFonts w:asciiTheme="minorHAnsi" w:hAnsiTheme="minorHAnsi" w:cstheme="minorHAnsi"/>
          <w:sz w:val="22"/>
        </w:rPr>
        <w:t xml:space="preserve"> </w:t>
      </w:r>
      <w:r w:rsidRPr="00CC2680">
        <w:rPr>
          <w:rFonts w:asciiTheme="minorHAnsi" w:hAnsiTheme="minorHAnsi" w:cstheme="minorHAnsi"/>
          <w:sz w:val="22"/>
        </w:rPr>
        <w:t xml:space="preserve">using </w:t>
      </w:r>
      <w:r w:rsidR="00E553D7">
        <w:rPr>
          <w:rFonts w:asciiTheme="minorHAnsi" w:hAnsiTheme="minorHAnsi" w:cstheme="minorHAnsi"/>
          <w:sz w:val="22"/>
        </w:rPr>
        <w:t>standard criteria described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E553D7">
        <w:rPr>
          <w:rFonts w:asciiTheme="minorHAnsi" w:hAnsiTheme="minorHAnsi" w:cstheme="minorHAnsi"/>
          <w:sz w:val="22"/>
        </w:rPr>
        <w:t>in</w:t>
      </w:r>
      <w:r w:rsidRPr="00CC2680">
        <w:rPr>
          <w:rFonts w:asciiTheme="minorHAnsi" w:hAnsiTheme="minorHAnsi" w:cstheme="minorHAnsi"/>
          <w:sz w:val="22"/>
        </w:rPr>
        <w:t xml:space="preserve"> the international consensus guideline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E553D7" w:rsidRPr="00E553D7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>).</w:t>
      </w:r>
    </w:p>
    <w:p w14:paraId="5477E36C" w14:textId="77777777" w:rsidR="003A6BEF" w:rsidRPr="00CC2680" w:rsidRDefault="003A6BEF" w:rsidP="005A1448">
      <w:pPr>
        <w:rPr>
          <w:rFonts w:asciiTheme="minorHAnsi" w:hAnsiTheme="minorHAnsi" w:cstheme="minorHAnsi"/>
          <w:sz w:val="22"/>
        </w:rPr>
      </w:pPr>
    </w:p>
    <w:p w14:paraId="5477E36D" w14:textId="51B8CB6D" w:rsidR="001F502B" w:rsidRPr="00CC2680" w:rsidRDefault="003A6BEF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A diagnosis of post Covid-19 vaccine associated ITP may be considered </w:t>
      </w:r>
      <w:r w:rsidR="00E553D7">
        <w:rPr>
          <w:rFonts w:asciiTheme="minorHAnsi" w:hAnsiTheme="minorHAnsi" w:cstheme="minorHAnsi"/>
          <w:sz w:val="22"/>
        </w:rPr>
        <w:t>with presentation or the onset of</w:t>
      </w:r>
      <w:r w:rsidRPr="00CC2680">
        <w:rPr>
          <w:rFonts w:asciiTheme="minorHAnsi" w:hAnsiTheme="minorHAnsi" w:cstheme="minorHAnsi"/>
          <w:sz w:val="22"/>
        </w:rPr>
        <w:t xml:space="preserve"> relevant symptoms within </w:t>
      </w:r>
      <w:r w:rsidR="00E553D7">
        <w:rPr>
          <w:rFonts w:asciiTheme="minorHAnsi" w:hAnsiTheme="minorHAnsi" w:cstheme="minorHAnsi"/>
          <w:sz w:val="22"/>
        </w:rPr>
        <w:t>30</w:t>
      </w:r>
      <w:r w:rsidRPr="00CC2680">
        <w:rPr>
          <w:rFonts w:asciiTheme="minorHAnsi" w:hAnsiTheme="minorHAnsi" w:cstheme="minorHAnsi"/>
          <w:sz w:val="22"/>
        </w:rPr>
        <w:t xml:space="preserve"> days of vaccination.  However</w:t>
      </w:r>
      <w:r w:rsidR="00105DA8">
        <w:rPr>
          <w:rFonts w:asciiTheme="minorHAnsi" w:hAnsiTheme="minorHAnsi" w:cstheme="minorHAnsi"/>
          <w:sz w:val="22"/>
        </w:rPr>
        <w:t>,</w:t>
      </w:r>
      <w:r w:rsidRPr="00CC2680">
        <w:rPr>
          <w:rFonts w:asciiTheme="minorHAnsi" w:hAnsiTheme="minorHAnsi" w:cstheme="minorHAnsi"/>
          <w:sz w:val="22"/>
        </w:rPr>
        <w:t xml:space="preserve"> alternative secondary causes should also be considered e.g. infection</w:t>
      </w:r>
      <w:r w:rsidR="00AA7FC3" w:rsidRPr="00CC2680">
        <w:rPr>
          <w:rFonts w:asciiTheme="minorHAnsi" w:hAnsiTheme="minorHAnsi" w:cstheme="minorHAnsi"/>
          <w:sz w:val="22"/>
        </w:rPr>
        <w:t xml:space="preserve"> </w:t>
      </w:r>
      <w:r w:rsidR="00E553D7">
        <w:rPr>
          <w:rFonts w:asciiTheme="minorHAnsi" w:hAnsiTheme="minorHAnsi" w:cstheme="minorHAnsi"/>
          <w:sz w:val="22"/>
        </w:rPr>
        <w:t>(</w:t>
      </w:r>
      <w:r w:rsidR="00AA7FC3" w:rsidRPr="00CC2680">
        <w:rPr>
          <w:rFonts w:asciiTheme="minorHAnsi" w:hAnsiTheme="minorHAnsi" w:cstheme="minorHAnsi"/>
          <w:sz w:val="22"/>
        </w:rPr>
        <w:t>including Covid-19</w:t>
      </w:r>
      <w:r w:rsidR="00E553D7">
        <w:rPr>
          <w:rFonts w:asciiTheme="minorHAnsi" w:hAnsiTheme="minorHAnsi" w:cstheme="minorHAnsi"/>
          <w:sz w:val="22"/>
        </w:rPr>
        <w:t>)</w:t>
      </w:r>
      <w:r w:rsidRPr="00CC2680">
        <w:rPr>
          <w:rFonts w:asciiTheme="minorHAnsi" w:hAnsiTheme="minorHAnsi" w:cstheme="minorHAnsi"/>
          <w:sz w:val="22"/>
        </w:rPr>
        <w:t xml:space="preserve">, immunodeficiency, </w:t>
      </w:r>
      <w:r w:rsidR="00AF1595" w:rsidRPr="00CC2680">
        <w:rPr>
          <w:rFonts w:asciiTheme="minorHAnsi" w:hAnsiTheme="minorHAnsi" w:cstheme="minorHAnsi"/>
          <w:sz w:val="22"/>
        </w:rPr>
        <w:t>and systemic</w:t>
      </w:r>
      <w:r w:rsidRPr="00CC2680">
        <w:rPr>
          <w:rFonts w:asciiTheme="minorHAnsi" w:hAnsiTheme="minorHAnsi" w:cstheme="minorHAnsi"/>
          <w:sz w:val="22"/>
        </w:rPr>
        <w:t xml:space="preserve"> autoimmune or lymphoprol</w:t>
      </w:r>
      <w:r w:rsidR="001F502B" w:rsidRPr="00CC2680">
        <w:rPr>
          <w:rFonts w:asciiTheme="minorHAnsi" w:hAnsiTheme="minorHAnsi" w:cstheme="minorHAnsi"/>
          <w:sz w:val="22"/>
        </w:rPr>
        <w:t xml:space="preserve">iferative disorders.  </w:t>
      </w:r>
    </w:p>
    <w:p w14:paraId="5477E36E" w14:textId="77777777" w:rsidR="001F502B" w:rsidRPr="00CC2680" w:rsidRDefault="001F502B" w:rsidP="005A1448">
      <w:pPr>
        <w:rPr>
          <w:rFonts w:asciiTheme="minorHAnsi" w:hAnsiTheme="minorHAnsi" w:cstheme="minorHAnsi"/>
          <w:sz w:val="22"/>
        </w:rPr>
      </w:pPr>
    </w:p>
    <w:p w14:paraId="5477E36F" w14:textId="77777777" w:rsidR="003A6BEF" w:rsidRPr="00CC2680" w:rsidRDefault="001F502B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Another important post-vaccine complication that can occur during this </w:t>
      </w:r>
      <w:r w:rsidR="00D306E6">
        <w:rPr>
          <w:rFonts w:asciiTheme="minorHAnsi" w:hAnsiTheme="minorHAnsi" w:cstheme="minorHAnsi"/>
          <w:sz w:val="22"/>
        </w:rPr>
        <w:t xml:space="preserve">time </w:t>
      </w:r>
      <w:r w:rsidRPr="00CC2680">
        <w:rPr>
          <w:rFonts w:asciiTheme="minorHAnsi" w:hAnsiTheme="minorHAnsi" w:cstheme="minorHAnsi"/>
          <w:sz w:val="22"/>
        </w:rPr>
        <w:t xml:space="preserve">is Vaccine-induced Immune Thrombocytopenia and Thrombosis (VITT).  Updated guidance on VITT is linked from the following webpage: </w:t>
      </w:r>
      <w:hyperlink r:id="rId10" w:history="1">
        <w:r w:rsidRPr="00CC2680">
          <w:rPr>
            <w:rStyle w:val="Hyperlink"/>
            <w:rFonts w:asciiTheme="minorHAnsi" w:hAnsiTheme="minorHAnsi" w:cstheme="minorHAnsi"/>
            <w:sz w:val="22"/>
          </w:rPr>
          <w:t>https://b-s-h.org.uk/about-us/news/guidance-produced-by-the-expert-haematology-panel-ehp-focussed-on-vaccine-induced-thrombosis-and-thrombocytopenia-vitt/</w:t>
        </w:r>
      </w:hyperlink>
      <w:r w:rsidRPr="00CC2680">
        <w:rPr>
          <w:rFonts w:asciiTheme="minorHAnsi" w:hAnsiTheme="minorHAnsi" w:cstheme="minorHAnsi"/>
          <w:sz w:val="22"/>
        </w:rPr>
        <w:t xml:space="preserve">. In cases of suspected post-Covid-19 vaccine ITP, patients should have a clotting screen including </w:t>
      </w:r>
      <w:proofErr w:type="spellStart"/>
      <w:r w:rsidRPr="00CC2680">
        <w:rPr>
          <w:rFonts w:asciiTheme="minorHAnsi" w:hAnsiTheme="minorHAnsi" w:cstheme="minorHAnsi"/>
          <w:sz w:val="22"/>
        </w:rPr>
        <w:t>Claus</w:t>
      </w:r>
      <w:r w:rsidR="008F411E" w:rsidRPr="00CC2680">
        <w:rPr>
          <w:rFonts w:asciiTheme="minorHAnsi" w:hAnsiTheme="minorHAnsi" w:cstheme="minorHAnsi"/>
          <w:sz w:val="22"/>
        </w:rPr>
        <w:t>s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Fibrinogen and D-Dimer</w:t>
      </w:r>
      <w:r w:rsidR="008F411E" w:rsidRPr="00CC2680">
        <w:rPr>
          <w:rFonts w:asciiTheme="minorHAnsi" w:hAnsiTheme="minorHAnsi" w:cstheme="minorHAnsi"/>
          <w:sz w:val="22"/>
        </w:rPr>
        <w:t>. Symptoms or signs of arterial or venous thrombosis should be appropriately investigated.</w:t>
      </w:r>
    </w:p>
    <w:p w14:paraId="5477E370" w14:textId="77777777" w:rsidR="008F411E" w:rsidRPr="00CC2680" w:rsidRDefault="008F411E" w:rsidP="005A1448">
      <w:pPr>
        <w:rPr>
          <w:rFonts w:asciiTheme="minorHAnsi" w:hAnsiTheme="minorHAnsi" w:cstheme="minorHAnsi"/>
          <w:sz w:val="22"/>
        </w:rPr>
      </w:pPr>
    </w:p>
    <w:p w14:paraId="5477E371" w14:textId="77777777" w:rsidR="008F411E" w:rsidRPr="00CC2680" w:rsidRDefault="008F41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Treatment</w:t>
      </w:r>
    </w:p>
    <w:p w14:paraId="5477E372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3" w14:textId="09ECA90B" w:rsidR="008F411E" w:rsidRPr="00CC2680" w:rsidRDefault="00AA7FC3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There is currently insufficient published evidence to </w:t>
      </w:r>
      <w:r w:rsidR="00DC1B86">
        <w:rPr>
          <w:rFonts w:asciiTheme="minorHAnsi" w:hAnsiTheme="minorHAnsi" w:cstheme="minorHAnsi"/>
          <w:sz w:val="22"/>
        </w:rPr>
        <w:t xml:space="preserve">justify adjustments to previous advice on when to </w:t>
      </w:r>
      <w:r w:rsidR="00FD2E0D" w:rsidRPr="00CC2680">
        <w:rPr>
          <w:rFonts w:asciiTheme="minorHAnsi" w:hAnsiTheme="minorHAnsi" w:cstheme="minorHAnsi"/>
          <w:sz w:val="22"/>
        </w:rPr>
        <w:t xml:space="preserve">start </w:t>
      </w:r>
      <w:r w:rsidRPr="00CC2680">
        <w:rPr>
          <w:rFonts w:asciiTheme="minorHAnsi" w:hAnsiTheme="minorHAnsi" w:cstheme="minorHAnsi"/>
          <w:sz w:val="22"/>
        </w:rPr>
        <w:t xml:space="preserve">treatment </w:t>
      </w:r>
      <w:r w:rsidR="00DC1B86">
        <w:rPr>
          <w:rFonts w:asciiTheme="minorHAnsi" w:hAnsiTheme="minorHAnsi" w:cstheme="minorHAnsi"/>
          <w:sz w:val="22"/>
        </w:rPr>
        <w:t>or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AF1595">
        <w:rPr>
          <w:rFonts w:asciiTheme="minorHAnsi" w:hAnsiTheme="minorHAnsi" w:cstheme="minorHAnsi"/>
          <w:sz w:val="22"/>
        </w:rPr>
        <w:t xml:space="preserve">the </w:t>
      </w:r>
      <w:r w:rsidR="00FD2E0D" w:rsidRPr="00CC2680">
        <w:rPr>
          <w:rFonts w:asciiTheme="minorHAnsi" w:hAnsiTheme="minorHAnsi" w:cstheme="minorHAnsi"/>
          <w:sz w:val="22"/>
        </w:rPr>
        <w:t>choice</w:t>
      </w:r>
      <w:r w:rsidRPr="00CC2680">
        <w:rPr>
          <w:rFonts w:asciiTheme="minorHAnsi" w:hAnsiTheme="minorHAnsi" w:cstheme="minorHAnsi"/>
          <w:sz w:val="22"/>
        </w:rPr>
        <w:t xml:space="preserve"> of treatment</w:t>
      </w:r>
      <w:r w:rsidR="00FD2E0D" w:rsidRPr="00CC2680">
        <w:rPr>
          <w:rFonts w:asciiTheme="minorHAnsi" w:hAnsiTheme="minorHAnsi" w:cstheme="minorHAnsi"/>
          <w:sz w:val="22"/>
        </w:rPr>
        <w:t>,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DC1B86">
        <w:rPr>
          <w:rFonts w:asciiTheme="minorHAnsi" w:hAnsiTheme="minorHAnsi" w:cstheme="minorHAnsi"/>
          <w:sz w:val="22"/>
        </w:rPr>
        <w:t>f</w:t>
      </w:r>
      <w:r w:rsidRPr="00CC2680">
        <w:rPr>
          <w:rFonts w:asciiTheme="minorHAnsi" w:hAnsiTheme="minorHAnsi" w:cstheme="minorHAnsi"/>
          <w:sz w:val="22"/>
        </w:rPr>
        <w:t>or ITP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305F3B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 xml:space="preserve">) and ITP during the pandemic (Pavord </w:t>
      </w:r>
      <w:r w:rsidR="00F51277">
        <w:rPr>
          <w:rFonts w:asciiTheme="minorHAnsi" w:hAnsiTheme="minorHAnsi" w:cstheme="minorHAnsi"/>
          <w:sz w:val="22"/>
        </w:rPr>
        <w:t>et al BJH 2021</w:t>
      </w:r>
      <w:r w:rsidRPr="00CC2680">
        <w:rPr>
          <w:rFonts w:asciiTheme="minorHAnsi" w:hAnsiTheme="minorHAnsi" w:cstheme="minorHAnsi"/>
          <w:sz w:val="22"/>
        </w:rPr>
        <w:t>).  Clinical experience suggests that many cases can either be observed for resolution or respond to typical first line treatments</w:t>
      </w:r>
      <w:r w:rsidR="00A04A3B" w:rsidRPr="00CC2680">
        <w:rPr>
          <w:rFonts w:asciiTheme="minorHAnsi" w:hAnsiTheme="minorHAnsi" w:cstheme="minorHAnsi"/>
          <w:sz w:val="22"/>
        </w:rPr>
        <w:t>.  In contrast, some patients have a more chronic course and require further treatment</w:t>
      </w:r>
      <w:r w:rsidRPr="00CC2680">
        <w:rPr>
          <w:rFonts w:asciiTheme="minorHAnsi" w:hAnsiTheme="minorHAnsi" w:cstheme="minorHAnsi"/>
          <w:sz w:val="22"/>
        </w:rPr>
        <w:t xml:space="preserve">. </w:t>
      </w:r>
    </w:p>
    <w:p w14:paraId="5477E374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5" w14:textId="68231ADA" w:rsidR="0007541E" w:rsidRDefault="0007541E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Difficult cases can be discussed with the working group via Teams on Wednesday PM 14.00-15.00.  </w:t>
      </w:r>
    </w:p>
    <w:p w14:paraId="4544360E" w14:textId="5895FE1D" w:rsidR="008B5104" w:rsidRDefault="00125D11" w:rsidP="00125D1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Link to the meeting</w:t>
      </w:r>
      <w:r w:rsidR="00E553D7">
        <w:rPr>
          <w:rFonts w:asciiTheme="minorHAnsi" w:hAnsiTheme="minorHAnsi" w:cstheme="minorHAnsi"/>
          <w:sz w:val="22"/>
        </w:rPr>
        <w:t xml:space="preserve">: </w:t>
      </w:r>
    </w:p>
    <w:p w14:paraId="3763DE65" w14:textId="32464FF1" w:rsidR="00125D11" w:rsidRDefault="00FA7D8F" w:rsidP="00125D11">
      <w:hyperlink r:id="rId11" w:history="1">
        <w:r w:rsidR="00244A2E" w:rsidRPr="00E553D7"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https://teams.microsoft.com/l/meetup-join/19%3ameeting_MjYyOWQ5OGMtYjE5YS00MTQ2LTk3YjItNzVjNTFlMGZhMTQy%40thread.v2/0?context=%7b%22Tid%22%3a%2237c354b2-85b0-47f5-b222-07b48d774ee3%22%2c%22Oid%22%3a%22ead49e4b-21d0-4ce2-942a-7df928dc069b%22%7d</w:t>
        </w:r>
      </w:hyperlink>
    </w:p>
    <w:p w14:paraId="5477E376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7" w14:textId="77777777" w:rsidR="0007541E" w:rsidRPr="00CC2680" w:rsidRDefault="00FD2E0D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ITP patients receiving</w:t>
      </w:r>
      <w:r w:rsidR="0007541E" w:rsidRPr="00CC2680">
        <w:rPr>
          <w:rFonts w:asciiTheme="minorHAnsi" w:hAnsiTheme="minorHAnsi" w:cstheme="minorHAnsi"/>
          <w:sz w:val="22"/>
          <w:u w:val="single"/>
        </w:rPr>
        <w:t xml:space="preserve"> </w:t>
      </w:r>
      <w:r w:rsidR="009912D0" w:rsidRPr="00CC2680">
        <w:rPr>
          <w:rFonts w:asciiTheme="minorHAnsi" w:hAnsiTheme="minorHAnsi" w:cstheme="minorHAnsi"/>
          <w:sz w:val="22"/>
          <w:u w:val="single"/>
        </w:rPr>
        <w:t xml:space="preserve">the </w:t>
      </w:r>
      <w:r w:rsidR="0007541E" w:rsidRPr="00CC2680">
        <w:rPr>
          <w:rFonts w:asciiTheme="minorHAnsi" w:hAnsiTheme="minorHAnsi" w:cstheme="minorHAnsi"/>
          <w:sz w:val="22"/>
          <w:u w:val="single"/>
        </w:rPr>
        <w:t>Covid-19 vaccine</w:t>
      </w:r>
    </w:p>
    <w:p w14:paraId="5477E378" w14:textId="77777777" w:rsidR="0007541E" w:rsidRDefault="00CC2680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Given the effectiveness of vaccination and the morbidities and mortality from Covid-19 infection, including the risk of Covid-19 associated </w:t>
      </w:r>
      <w:r w:rsidR="00AF1595" w:rsidRPr="00CC2680">
        <w:rPr>
          <w:rFonts w:asciiTheme="minorHAnsi" w:hAnsiTheme="minorHAnsi" w:cstheme="minorHAnsi"/>
          <w:sz w:val="22"/>
        </w:rPr>
        <w:t>ITP;</w:t>
      </w:r>
      <w:r w:rsidRPr="00CC2680">
        <w:rPr>
          <w:rFonts w:asciiTheme="minorHAnsi" w:hAnsiTheme="minorHAnsi" w:cstheme="minorHAnsi"/>
          <w:sz w:val="22"/>
        </w:rPr>
        <w:t xml:space="preserve"> ITP is </w:t>
      </w:r>
      <w:r w:rsidRPr="00AF56F3">
        <w:rPr>
          <w:rFonts w:asciiTheme="minorHAnsi" w:hAnsiTheme="minorHAnsi" w:cstheme="minorHAnsi"/>
          <w:sz w:val="22"/>
          <w:u w:val="single"/>
        </w:rPr>
        <w:t>not</w:t>
      </w:r>
      <w:r w:rsidRPr="00CC2680">
        <w:rPr>
          <w:rFonts w:asciiTheme="minorHAnsi" w:hAnsiTheme="minorHAnsi" w:cstheme="minorHAnsi"/>
          <w:sz w:val="22"/>
        </w:rPr>
        <w:t xml:space="preserve"> a contra-indication to vaccination.</w:t>
      </w:r>
    </w:p>
    <w:p w14:paraId="5477E379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</w:p>
    <w:p w14:paraId="5477E37A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ITP has </w:t>
      </w:r>
      <w:r w:rsidRPr="00F57A2E">
        <w:rPr>
          <w:rFonts w:asciiTheme="minorHAnsi" w:hAnsiTheme="minorHAnsi" w:cstheme="minorHAnsi"/>
          <w:sz w:val="22"/>
          <w:u w:val="single"/>
        </w:rPr>
        <w:t>not</w:t>
      </w:r>
      <w:r>
        <w:rPr>
          <w:rFonts w:asciiTheme="minorHAnsi" w:hAnsiTheme="minorHAnsi" w:cstheme="minorHAnsi"/>
          <w:sz w:val="22"/>
        </w:rPr>
        <w:t xml:space="preserve"> been identified as a risk factor for VITT and does not influence the decision on vaccine type.</w:t>
      </w:r>
    </w:p>
    <w:p w14:paraId="5477E37B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</w:p>
    <w:p w14:paraId="5477E37C" w14:textId="4A6A1FB0" w:rsidR="00AF1595" w:rsidRPr="00CC2680" w:rsidRDefault="00AF1595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Some patients with ITP </w:t>
      </w:r>
      <w:r w:rsidR="00AF56F3">
        <w:rPr>
          <w:rFonts w:asciiTheme="minorHAnsi" w:hAnsiTheme="minorHAnsi" w:cstheme="minorHAnsi"/>
          <w:sz w:val="22"/>
        </w:rPr>
        <w:t xml:space="preserve">will be </w:t>
      </w:r>
      <w:r>
        <w:rPr>
          <w:rFonts w:asciiTheme="minorHAnsi" w:hAnsiTheme="minorHAnsi" w:cstheme="minorHAnsi"/>
          <w:sz w:val="22"/>
        </w:rPr>
        <w:t xml:space="preserve">receiving immunosuppression.  </w:t>
      </w:r>
      <w:r w:rsidR="00AF56F3">
        <w:rPr>
          <w:rFonts w:asciiTheme="minorHAnsi" w:hAnsiTheme="minorHAnsi" w:cstheme="minorHAnsi"/>
          <w:sz w:val="22"/>
        </w:rPr>
        <w:t>Those on immunosuppression are considered an at risk group</w:t>
      </w:r>
      <w:r w:rsidR="00105DA8">
        <w:rPr>
          <w:rFonts w:asciiTheme="minorHAnsi" w:hAnsiTheme="minorHAnsi" w:cstheme="minorHAnsi"/>
          <w:sz w:val="22"/>
        </w:rPr>
        <w:t xml:space="preserve"> for COVID-19</w:t>
      </w:r>
      <w:r w:rsidR="00AF56F3">
        <w:rPr>
          <w:rFonts w:asciiTheme="minorHAnsi" w:hAnsiTheme="minorHAnsi" w:cstheme="minorHAnsi"/>
          <w:sz w:val="22"/>
        </w:rPr>
        <w:t>.  Although these individuals may not make a full immunological response to vaccination, it is still recommended (</w:t>
      </w:r>
      <w:hyperlink r:id="rId12" w:history="1">
        <w:r w:rsidR="00AF56F3" w:rsidRPr="00FB023C">
          <w:rPr>
            <w:rStyle w:val="Hyperlink"/>
            <w:rFonts w:asciiTheme="minorHAnsi" w:hAnsiTheme="minorHAnsi" w:cstheme="minorHAnsi"/>
            <w:sz w:val="22"/>
          </w:rPr>
          <w:t>https://www.gov.uk/government/publications/covid-19-the-green-book-chapter-14a</w:t>
        </w:r>
      </w:hyperlink>
      <w:r w:rsidR="00AF56F3">
        <w:rPr>
          <w:rFonts w:asciiTheme="minorHAnsi" w:hAnsiTheme="minorHAnsi" w:cstheme="minorHAnsi"/>
          <w:sz w:val="22"/>
        </w:rPr>
        <w:t xml:space="preserve">).  </w:t>
      </w:r>
    </w:p>
    <w:p w14:paraId="5477E37D" w14:textId="77777777" w:rsidR="0007541E" w:rsidRDefault="0007541E" w:rsidP="005A1448">
      <w:pPr>
        <w:rPr>
          <w:rFonts w:asciiTheme="minorHAnsi" w:hAnsiTheme="minorHAnsi" w:cstheme="minorHAnsi"/>
          <w:sz w:val="22"/>
        </w:rPr>
      </w:pPr>
    </w:p>
    <w:p w14:paraId="5477E37E" w14:textId="571DC18B" w:rsidR="007C6E1F" w:rsidRDefault="00105DA8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In patients with significant thrombocytopenia, a</w:t>
      </w:r>
      <w:r w:rsidR="007C6E1F" w:rsidRPr="007C6E1F">
        <w:rPr>
          <w:rFonts w:asciiTheme="minorHAnsi" w:hAnsiTheme="minorHAnsi" w:cstheme="minorHAnsi"/>
          <w:sz w:val="22"/>
        </w:rPr>
        <w:t xml:space="preserve"> fine needle (23 or 25 gauge) should be used, with sustained pressure at the injection site (without rubbing) for at least 2 minutes to avoid muscle haematoma. Ideally a platelet count of &gt;30 x10</w:t>
      </w:r>
      <w:r w:rsidR="007C6E1F" w:rsidRPr="007C6E1F">
        <w:rPr>
          <w:rFonts w:asciiTheme="minorHAnsi" w:hAnsiTheme="minorHAnsi" w:cstheme="minorHAnsi"/>
          <w:sz w:val="22"/>
          <w:vertAlign w:val="superscript"/>
        </w:rPr>
        <w:t>9</w:t>
      </w:r>
      <w:r w:rsidR="007C6E1F" w:rsidRPr="007C6E1F">
        <w:rPr>
          <w:rFonts w:asciiTheme="minorHAnsi" w:hAnsiTheme="minorHAnsi" w:cstheme="minorHAnsi"/>
          <w:sz w:val="22"/>
        </w:rPr>
        <w:t xml:space="preserve">/L is required but a lower platelet count should not preclude it. </w:t>
      </w:r>
    </w:p>
    <w:p w14:paraId="5477E37F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0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potential for a fall in platelet count post vaccine should be discussed with patients, including the </w:t>
      </w:r>
      <w:r w:rsidR="00D306E6">
        <w:rPr>
          <w:rFonts w:asciiTheme="minorHAnsi" w:hAnsiTheme="minorHAnsi" w:cstheme="minorHAnsi"/>
          <w:sz w:val="22"/>
        </w:rPr>
        <w:t xml:space="preserve">need to </w:t>
      </w:r>
      <w:r>
        <w:rPr>
          <w:rFonts w:asciiTheme="minorHAnsi" w:hAnsiTheme="minorHAnsi" w:cstheme="minorHAnsi"/>
          <w:sz w:val="22"/>
        </w:rPr>
        <w:t>check</w:t>
      </w:r>
      <w:r w:rsidR="00D306E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their platelet count</w:t>
      </w:r>
      <w:r w:rsidR="00D306E6">
        <w:rPr>
          <w:rFonts w:asciiTheme="minorHAnsi" w:hAnsiTheme="minorHAnsi" w:cstheme="minorHAnsi"/>
          <w:sz w:val="22"/>
        </w:rPr>
        <w:t xml:space="preserve"> if </w:t>
      </w:r>
      <w:r>
        <w:rPr>
          <w:rFonts w:asciiTheme="minorHAnsi" w:hAnsiTheme="minorHAnsi" w:cstheme="minorHAnsi"/>
          <w:sz w:val="22"/>
        </w:rPr>
        <w:t>bleeding symptoms develop</w:t>
      </w:r>
      <w:r w:rsidR="00D306E6">
        <w:rPr>
          <w:rFonts w:asciiTheme="minorHAnsi" w:hAnsiTheme="minorHAnsi" w:cstheme="minorHAnsi"/>
          <w:sz w:val="22"/>
        </w:rPr>
        <w:t>, particularly</w:t>
      </w:r>
      <w:r>
        <w:rPr>
          <w:rFonts w:asciiTheme="minorHAnsi" w:hAnsiTheme="minorHAnsi" w:cstheme="minorHAnsi"/>
          <w:sz w:val="22"/>
        </w:rPr>
        <w:t xml:space="preserve"> in the first 1-2 weeks post vaccine.</w:t>
      </w:r>
    </w:p>
    <w:p w14:paraId="5477E381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2" w14:textId="77777777" w:rsidR="007C6E1F" w:rsidRDefault="002F4C5D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With respect to timing of vaccination in patients under consideration for immunosupp</w:t>
      </w:r>
      <w:r w:rsidR="00D306E6">
        <w:rPr>
          <w:rFonts w:asciiTheme="minorHAnsi" w:hAnsiTheme="minorHAnsi" w:cstheme="minorHAnsi"/>
          <w:sz w:val="22"/>
        </w:rPr>
        <w:t xml:space="preserve">ression, some useful guidance issued for patients with rheumatological conditions can be accessed here: </w:t>
      </w:r>
      <w:hyperlink r:id="rId13" w:history="1">
        <w:r w:rsidR="00D306E6" w:rsidRPr="00FB023C">
          <w:rPr>
            <w:rStyle w:val="Hyperlink"/>
            <w:rFonts w:asciiTheme="minorHAnsi" w:hAnsiTheme="minorHAnsi" w:cstheme="minorHAnsi"/>
            <w:sz w:val="22"/>
          </w:rPr>
          <w:t>http://arma.uk.net/covid-19-vaccination-and-msk/</w:t>
        </w:r>
      </w:hyperlink>
    </w:p>
    <w:p w14:paraId="5477E383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4" w14:textId="77777777" w:rsidR="0007541E" w:rsidRPr="00CC2680" w:rsidRDefault="000754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Should patients with ITP</w:t>
      </w:r>
      <w:r w:rsidR="00FD2E0D" w:rsidRPr="00CC2680">
        <w:rPr>
          <w:rFonts w:asciiTheme="minorHAnsi" w:hAnsiTheme="minorHAnsi" w:cstheme="minorHAnsi"/>
          <w:sz w:val="22"/>
          <w:u w:val="single"/>
        </w:rPr>
        <w:t xml:space="preserve"> or </w:t>
      </w:r>
      <w:r w:rsidRPr="00CC2680">
        <w:rPr>
          <w:rFonts w:asciiTheme="minorHAnsi" w:hAnsiTheme="minorHAnsi" w:cstheme="minorHAnsi"/>
          <w:sz w:val="22"/>
          <w:u w:val="single"/>
        </w:rPr>
        <w:t>ITP relapse after Covid-19 vaccine receive further vaccinations?</w:t>
      </w:r>
    </w:p>
    <w:p w14:paraId="5477E387" w14:textId="77777777" w:rsidR="00C3593C" w:rsidRPr="00CC2680" w:rsidRDefault="00C3593C" w:rsidP="005A1448">
      <w:pPr>
        <w:rPr>
          <w:rFonts w:asciiTheme="minorHAnsi" w:hAnsiTheme="minorHAnsi" w:cstheme="minorHAnsi"/>
          <w:sz w:val="22"/>
        </w:rPr>
      </w:pPr>
    </w:p>
    <w:p w14:paraId="5477E388" w14:textId="5E12CB1C" w:rsidR="00C3593C" w:rsidRPr="00CC2680" w:rsidRDefault="00675309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is limited data on the evolution of ITP after vaccine, and whether a second dose would precipitate a further exacerbation. The data so far suggests that ITP remains treatment responsive</w:t>
      </w:r>
      <w:r w:rsidR="00190278" w:rsidRPr="00CC2680">
        <w:rPr>
          <w:rFonts w:asciiTheme="minorHAnsi" w:hAnsiTheme="minorHAnsi" w:cstheme="minorHAnsi"/>
          <w:sz w:val="22"/>
        </w:rPr>
        <w:t xml:space="preserve"> (Lee</w:t>
      </w:r>
      <w:r w:rsidR="00D306E6">
        <w:rPr>
          <w:rFonts w:asciiTheme="minorHAnsi" w:hAnsiTheme="minorHAnsi" w:cstheme="minorHAnsi"/>
          <w:sz w:val="22"/>
        </w:rPr>
        <w:t xml:space="preserve"> </w:t>
      </w:r>
      <w:r w:rsidR="00244A2E">
        <w:rPr>
          <w:rFonts w:asciiTheme="minorHAnsi" w:hAnsiTheme="minorHAnsi" w:cstheme="minorHAnsi"/>
          <w:sz w:val="22"/>
        </w:rPr>
        <w:t>et al AJH 2021</w:t>
      </w:r>
      <w:r w:rsidR="00190278" w:rsidRPr="00CC2680">
        <w:rPr>
          <w:rFonts w:asciiTheme="minorHAnsi" w:hAnsiTheme="minorHAnsi" w:cstheme="minorHAnsi"/>
          <w:sz w:val="22"/>
        </w:rPr>
        <w:t>).  ITP following first MMR vaccine has not been considered a contra-indication to second vaccination in US (Mill</w:t>
      </w:r>
      <w:r w:rsidR="00EE34D5">
        <w:rPr>
          <w:rFonts w:asciiTheme="minorHAnsi" w:hAnsiTheme="minorHAnsi" w:cstheme="minorHAnsi"/>
          <w:sz w:val="22"/>
        </w:rPr>
        <w:t>e</w:t>
      </w:r>
      <w:r w:rsidR="00190278" w:rsidRPr="00CC2680">
        <w:rPr>
          <w:rFonts w:asciiTheme="minorHAnsi" w:hAnsiTheme="minorHAnsi" w:cstheme="minorHAnsi"/>
          <w:sz w:val="22"/>
        </w:rPr>
        <w:t xml:space="preserve">r </w:t>
      </w:r>
      <w:r w:rsidR="003215CF">
        <w:rPr>
          <w:rFonts w:asciiTheme="minorHAnsi" w:hAnsiTheme="minorHAnsi" w:cstheme="minorHAnsi"/>
          <w:sz w:val="22"/>
        </w:rPr>
        <w:t>et al</w:t>
      </w:r>
      <w:r w:rsidR="00D306E6">
        <w:rPr>
          <w:rFonts w:asciiTheme="minorHAnsi" w:hAnsiTheme="minorHAnsi" w:cstheme="minorHAnsi"/>
          <w:sz w:val="22"/>
        </w:rPr>
        <w:t xml:space="preserve"> </w:t>
      </w:r>
      <w:r w:rsidR="00EE34D5">
        <w:rPr>
          <w:rFonts w:asciiTheme="minorHAnsi" w:hAnsiTheme="minorHAnsi" w:cstheme="minorHAnsi"/>
          <w:sz w:val="22"/>
        </w:rPr>
        <w:t>Arch Dis Child 2001</w:t>
      </w:r>
      <w:r w:rsidR="00190278" w:rsidRPr="00CC2680">
        <w:rPr>
          <w:rFonts w:asciiTheme="minorHAnsi" w:hAnsiTheme="minorHAnsi" w:cstheme="minorHAnsi"/>
          <w:sz w:val="22"/>
        </w:rPr>
        <w:t xml:space="preserve">) and UK (BSH </w:t>
      </w:r>
      <w:r w:rsidR="0080328D">
        <w:rPr>
          <w:rFonts w:asciiTheme="minorHAnsi" w:hAnsiTheme="minorHAnsi" w:cstheme="minorHAnsi"/>
          <w:sz w:val="22"/>
        </w:rPr>
        <w:t xml:space="preserve">BJH </w:t>
      </w:r>
      <w:r w:rsidR="004D509A">
        <w:rPr>
          <w:rFonts w:asciiTheme="minorHAnsi" w:hAnsiTheme="minorHAnsi" w:cstheme="minorHAnsi"/>
          <w:sz w:val="22"/>
        </w:rPr>
        <w:t>2003</w:t>
      </w:r>
      <w:r w:rsidR="00190278" w:rsidRPr="00CC2680">
        <w:rPr>
          <w:rFonts w:asciiTheme="minorHAnsi" w:hAnsiTheme="minorHAnsi" w:cstheme="minorHAnsi"/>
          <w:sz w:val="22"/>
        </w:rPr>
        <w:t>) guidelines.</w:t>
      </w:r>
      <w:r w:rsidR="00C3593C" w:rsidRPr="00CC2680">
        <w:rPr>
          <w:rFonts w:asciiTheme="minorHAnsi" w:hAnsiTheme="minorHAnsi" w:cstheme="minorHAnsi"/>
          <w:sz w:val="22"/>
        </w:rPr>
        <w:t xml:space="preserve">  </w:t>
      </w:r>
      <w:r w:rsidR="00190278" w:rsidRPr="00CC2680">
        <w:rPr>
          <w:rFonts w:asciiTheme="minorHAnsi" w:hAnsiTheme="minorHAnsi" w:cstheme="minorHAnsi"/>
          <w:sz w:val="22"/>
        </w:rPr>
        <w:t xml:space="preserve">The current experience </w:t>
      </w:r>
      <w:r w:rsidR="00CC2680" w:rsidRPr="00CC2680">
        <w:rPr>
          <w:rFonts w:asciiTheme="minorHAnsi" w:hAnsiTheme="minorHAnsi" w:cstheme="minorHAnsi"/>
          <w:sz w:val="22"/>
        </w:rPr>
        <w:t xml:space="preserve">encountered by clinicians </w:t>
      </w:r>
      <w:r w:rsidR="00DC1B86">
        <w:rPr>
          <w:rFonts w:asciiTheme="minorHAnsi" w:hAnsiTheme="minorHAnsi" w:cstheme="minorHAnsi"/>
          <w:sz w:val="22"/>
        </w:rPr>
        <w:t xml:space="preserve">from the ITP Forum </w:t>
      </w:r>
      <w:r w:rsidR="00CC2680" w:rsidRPr="00CC2680">
        <w:rPr>
          <w:rFonts w:asciiTheme="minorHAnsi" w:hAnsiTheme="minorHAnsi" w:cstheme="minorHAnsi"/>
          <w:sz w:val="22"/>
        </w:rPr>
        <w:t>has been that re-vaccination has resulted in either a stable platelet count, or a fa</w:t>
      </w:r>
      <w:r w:rsidR="00533DC4">
        <w:rPr>
          <w:rFonts w:asciiTheme="minorHAnsi" w:hAnsiTheme="minorHAnsi" w:cstheme="minorHAnsi"/>
          <w:sz w:val="22"/>
        </w:rPr>
        <w:t>ll that is treatment responsive.</w:t>
      </w:r>
      <w:r w:rsidR="00CC2680" w:rsidRPr="00CC2680">
        <w:rPr>
          <w:rFonts w:asciiTheme="minorHAnsi" w:hAnsiTheme="minorHAnsi" w:cstheme="minorHAnsi"/>
          <w:sz w:val="22"/>
        </w:rPr>
        <w:t xml:space="preserve"> </w:t>
      </w:r>
      <w:r w:rsidR="00190278" w:rsidRPr="00CC2680">
        <w:rPr>
          <w:rFonts w:asciiTheme="minorHAnsi" w:hAnsiTheme="minorHAnsi" w:cstheme="minorHAnsi"/>
          <w:sz w:val="22"/>
        </w:rPr>
        <w:t xml:space="preserve"> </w:t>
      </w:r>
    </w:p>
    <w:p w14:paraId="5477E389" w14:textId="77777777" w:rsidR="00C3593C" w:rsidRPr="00CC2680" w:rsidRDefault="00C3593C" w:rsidP="005A1448">
      <w:pPr>
        <w:rPr>
          <w:rFonts w:asciiTheme="minorHAnsi" w:hAnsiTheme="minorHAnsi" w:cstheme="minorHAnsi"/>
          <w:sz w:val="22"/>
        </w:rPr>
      </w:pPr>
    </w:p>
    <w:p w14:paraId="5477E38A" w14:textId="7E79C649" w:rsidR="0007541E" w:rsidRDefault="00675309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 the contrary, the</w:t>
      </w:r>
      <w:r w:rsidR="00E64789" w:rsidRPr="00CC2680">
        <w:rPr>
          <w:rFonts w:asciiTheme="minorHAnsi" w:hAnsiTheme="minorHAnsi" w:cstheme="minorHAnsi"/>
          <w:sz w:val="22"/>
        </w:rPr>
        <w:t xml:space="preserve"> benefit </w:t>
      </w:r>
      <w:r>
        <w:rPr>
          <w:rFonts w:asciiTheme="minorHAnsi" w:hAnsiTheme="minorHAnsi" w:cstheme="minorHAnsi"/>
          <w:sz w:val="22"/>
        </w:rPr>
        <w:t>of the second vaccine for COVID-19 protection is clear</w:t>
      </w:r>
      <w:r w:rsidR="00E64789" w:rsidRPr="00CC2680">
        <w:rPr>
          <w:rFonts w:asciiTheme="minorHAnsi" w:hAnsiTheme="minorHAnsi" w:cstheme="minorHAnsi"/>
          <w:sz w:val="22"/>
        </w:rPr>
        <w:t>.  Furthermore, in the United Kingdom, there has been a rapid rise in the B.1.617.2 (delta) variant</w:t>
      </w:r>
      <w:r w:rsidR="00C3593C" w:rsidRPr="00CC2680">
        <w:rPr>
          <w:rFonts w:asciiTheme="minorHAnsi" w:hAnsiTheme="minorHAnsi" w:cstheme="minorHAnsi"/>
          <w:sz w:val="22"/>
        </w:rPr>
        <w:t>.  Recent evidence suggests that effectiveness of one Pfizer vaccine was notably lower among persons with the delta variant (30.7%) than among those with the alpha variant (48.7%).  The effectiveness of two doses was 93.7% among persons with the alpha variant and 88.0% among those with the delta variant. With the AstraZeneca vaccine, the effectiveness of two doses was 74.5% among persons with the alpha variant and 67.0% among those with the delta variant (</w:t>
      </w:r>
      <w:r w:rsidR="003215CF">
        <w:rPr>
          <w:rFonts w:asciiTheme="minorHAnsi" w:hAnsiTheme="minorHAnsi" w:cstheme="minorHAnsi"/>
          <w:sz w:val="22"/>
        </w:rPr>
        <w:t>Lopez-</w:t>
      </w:r>
      <w:r w:rsidR="00C3593C" w:rsidRPr="00CC2680">
        <w:rPr>
          <w:rFonts w:asciiTheme="minorHAnsi" w:hAnsiTheme="minorHAnsi" w:cstheme="minorHAnsi"/>
          <w:sz w:val="22"/>
        </w:rPr>
        <w:t xml:space="preserve">Bernal </w:t>
      </w:r>
      <w:r w:rsidR="003215CF">
        <w:rPr>
          <w:rFonts w:asciiTheme="minorHAnsi" w:hAnsiTheme="minorHAnsi" w:cstheme="minorHAnsi"/>
          <w:sz w:val="22"/>
        </w:rPr>
        <w:t xml:space="preserve">et al </w:t>
      </w:r>
      <w:r w:rsidR="00CC656D">
        <w:rPr>
          <w:rFonts w:asciiTheme="minorHAnsi" w:hAnsiTheme="minorHAnsi" w:cstheme="minorHAnsi"/>
          <w:sz w:val="22"/>
        </w:rPr>
        <w:t>NEJM 2021</w:t>
      </w:r>
      <w:r w:rsidR="00C3593C" w:rsidRPr="00CC2680">
        <w:rPr>
          <w:rFonts w:asciiTheme="minorHAnsi" w:hAnsiTheme="minorHAnsi" w:cstheme="minorHAnsi"/>
          <w:sz w:val="22"/>
        </w:rPr>
        <w:t>).</w:t>
      </w:r>
    </w:p>
    <w:p w14:paraId="5477E38B" w14:textId="77777777" w:rsidR="00F57A2E" w:rsidRDefault="00F57A2E" w:rsidP="005A1448">
      <w:pPr>
        <w:rPr>
          <w:rFonts w:asciiTheme="minorHAnsi" w:hAnsiTheme="minorHAnsi" w:cstheme="minorHAnsi"/>
          <w:sz w:val="22"/>
        </w:rPr>
      </w:pPr>
    </w:p>
    <w:p w14:paraId="5477E38C" w14:textId="7F0F29F7" w:rsidR="00F57A2E" w:rsidRDefault="00F57A2E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Furthermore, evidence published in pre-print found that in immunosuppressed patients, r</w:t>
      </w:r>
      <w:r w:rsidRPr="00F57A2E">
        <w:rPr>
          <w:rFonts w:asciiTheme="minorHAnsi" w:hAnsiTheme="minorHAnsi" w:cstheme="minorHAnsi"/>
          <w:sz w:val="22"/>
        </w:rPr>
        <w:t>educed vaccine effectiveness against clinical disease was noted after</w:t>
      </w:r>
      <w:r w:rsidR="00852334">
        <w:rPr>
          <w:rFonts w:asciiTheme="minorHAnsi" w:hAnsiTheme="minorHAnsi" w:cstheme="minorHAnsi"/>
          <w:sz w:val="22"/>
        </w:rPr>
        <w:t xml:space="preserve"> o</w:t>
      </w:r>
      <w:r w:rsidRPr="00F57A2E">
        <w:rPr>
          <w:rFonts w:asciiTheme="minorHAnsi" w:hAnsiTheme="minorHAnsi" w:cstheme="minorHAnsi"/>
          <w:sz w:val="22"/>
        </w:rPr>
        <w:t>ne</w:t>
      </w:r>
      <w:r w:rsidR="00852334">
        <w:rPr>
          <w:rFonts w:asciiTheme="minorHAnsi" w:hAnsiTheme="minorHAnsi" w:cstheme="minorHAnsi"/>
          <w:sz w:val="22"/>
        </w:rPr>
        <w:t xml:space="preserve"> d</w:t>
      </w:r>
      <w:r w:rsidRPr="00F57A2E">
        <w:rPr>
          <w:rFonts w:asciiTheme="minorHAnsi" w:hAnsiTheme="minorHAnsi" w:cstheme="minorHAnsi"/>
          <w:sz w:val="22"/>
        </w:rPr>
        <w:t>ose</w:t>
      </w:r>
      <w:r w:rsidR="00852334">
        <w:rPr>
          <w:rFonts w:asciiTheme="minorHAnsi" w:hAnsiTheme="minorHAnsi" w:cstheme="minorHAnsi"/>
          <w:sz w:val="22"/>
        </w:rPr>
        <w:t xml:space="preserve"> (4%)</w:t>
      </w:r>
      <w:r w:rsidRPr="00F57A2E">
        <w:rPr>
          <w:rFonts w:asciiTheme="minorHAnsi" w:hAnsiTheme="minorHAnsi" w:cstheme="minorHAnsi"/>
          <w:sz w:val="22"/>
        </w:rPr>
        <w:t>, however, after a second dose of either vaccine, high levels</w:t>
      </w:r>
      <w:r w:rsidR="00852334">
        <w:rPr>
          <w:rFonts w:asciiTheme="minorHAnsi" w:hAnsiTheme="minorHAnsi" w:cstheme="minorHAnsi"/>
          <w:sz w:val="22"/>
        </w:rPr>
        <w:t xml:space="preserve"> </w:t>
      </w:r>
      <w:r w:rsidRPr="00F57A2E">
        <w:rPr>
          <w:rFonts w:asciiTheme="minorHAnsi" w:hAnsiTheme="minorHAnsi" w:cstheme="minorHAnsi"/>
          <w:sz w:val="22"/>
        </w:rPr>
        <w:t>of effectiveness were seen (Pfizer: 73.0%, AstraZeneca 74.6%</w:t>
      </w:r>
      <w:r w:rsidR="00852334">
        <w:rPr>
          <w:rFonts w:asciiTheme="minorHAnsi" w:hAnsiTheme="minorHAnsi" w:cstheme="minorHAnsi"/>
          <w:sz w:val="22"/>
        </w:rPr>
        <w:t>) (</w:t>
      </w:r>
      <w:hyperlink r:id="rId14" w:history="1">
        <w:r w:rsidR="00852334" w:rsidRPr="00FB023C">
          <w:rPr>
            <w:rStyle w:val="Hyperlink"/>
            <w:rFonts w:asciiTheme="minorHAnsi" w:hAnsiTheme="minorHAnsi" w:cstheme="minorHAnsi"/>
            <w:sz w:val="22"/>
          </w:rPr>
          <w:t>https://khub.net/documents/135939561/430986542/RCGP+VE+riskgroups+paper.pdf/a6b54cd9-419d-9b63-e2bf-5dc796f5a91f</w:t>
        </w:r>
      </w:hyperlink>
      <w:r w:rsidR="00852334">
        <w:rPr>
          <w:rFonts w:asciiTheme="minorHAnsi" w:hAnsiTheme="minorHAnsi" w:cstheme="minorHAnsi"/>
          <w:sz w:val="22"/>
        </w:rPr>
        <w:t>).</w:t>
      </w:r>
    </w:p>
    <w:p w14:paraId="5477E38D" w14:textId="77777777" w:rsidR="00852334" w:rsidRDefault="00852334" w:rsidP="00F57A2E">
      <w:pPr>
        <w:rPr>
          <w:rFonts w:asciiTheme="minorHAnsi" w:hAnsiTheme="minorHAnsi" w:cstheme="minorHAnsi"/>
          <w:sz w:val="22"/>
        </w:rPr>
      </w:pPr>
    </w:p>
    <w:p w14:paraId="5477E38E" w14:textId="7E29EE40" w:rsidR="00852334" w:rsidRDefault="000F1D31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is unknown whether</w:t>
      </w:r>
      <w:r w:rsidR="00D306E6">
        <w:rPr>
          <w:rFonts w:asciiTheme="minorHAnsi" w:hAnsiTheme="minorHAnsi" w:cstheme="minorHAnsi"/>
          <w:sz w:val="22"/>
        </w:rPr>
        <w:t xml:space="preserve"> switching between Covid</w:t>
      </w:r>
      <w:r>
        <w:rPr>
          <w:rFonts w:asciiTheme="minorHAnsi" w:hAnsiTheme="minorHAnsi" w:cstheme="minorHAnsi"/>
          <w:sz w:val="22"/>
        </w:rPr>
        <w:t>-</w:t>
      </w:r>
      <w:r w:rsidR="00D306E6">
        <w:rPr>
          <w:rFonts w:asciiTheme="minorHAnsi" w:hAnsiTheme="minorHAnsi" w:cstheme="minorHAnsi"/>
          <w:sz w:val="22"/>
        </w:rPr>
        <w:t xml:space="preserve">19 </w:t>
      </w:r>
      <w:r>
        <w:rPr>
          <w:rFonts w:asciiTheme="minorHAnsi" w:hAnsiTheme="minorHAnsi" w:cstheme="minorHAnsi"/>
          <w:sz w:val="22"/>
        </w:rPr>
        <w:t>vaccines would</w:t>
      </w:r>
      <w:r w:rsidR="00533DC4">
        <w:rPr>
          <w:rFonts w:asciiTheme="minorHAnsi" w:hAnsiTheme="minorHAnsi" w:cstheme="minorHAnsi"/>
          <w:sz w:val="22"/>
        </w:rPr>
        <w:t xml:space="preserve"> increase or</w:t>
      </w:r>
      <w:r>
        <w:rPr>
          <w:rFonts w:asciiTheme="minorHAnsi" w:hAnsiTheme="minorHAnsi" w:cstheme="minorHAnsi"/>
          <w:sz w:val="22"/>
        </w:rPr>
        <w:t xml:space="preserve"> reduce the risk of ITP recurrence.  Another </w:t>
      </w:r>
      <w:r w:rsidR="00DC1B86">
        <w:rPr>
          <w:rFonts w:asciiTheme="minorHAnsi" w:hAnsiTheme="minorHAnsi" w:cstheme="minorHAnsi"/>
          <w:sz w:val="22"/>
        </w:rPr>
        <w:t xml:space="preserve">related </w:t>
      </w:r>
      <w:r>
        <w:rPr>
          <w:rFonts w:asciiTheme="minorHAnsi" w:hAnsiTheme="minorHAnsi" w:cstheme="minorHAnsi"/>
          <w:sz w:val="22"/>
        </w:rPr>
        <w:t>area of uncertainty is whether switching vaccines would confer the same clinical effectiveness</w:t>
      </w:r>
      <w:r w:rsidR="00DC1B86">
        <w:rPr>
          <w:rFonts w:asciiTheme="minorHAnsi" w:hAnsiTheme="minorHAnsi" w:cstheme="minorHAnsi"/>
          <w:sz w:val="22"/>
        </w:rPr>
        <w:t xml:space="preserve"> against Covid-19</w:t>
      </w:r>
      <w:r>
        <w:rPr>
          <w:rFonts w:asciiTheme="minorHAnsi" w:hAnsiTheme="minorHAnsi" w:cstheme="minorHAnsi"/>
          <w:sz w:val="22"/>
        </w:rPr>
        <w:t xml:space="preserve">, as compared to receiving two vaccinations of the same type.  </w:t>
      </w:r>
      <w:r w:rsidR="002C6178">
        <w:rPr>
          <w:rFonts w:asciiTheme="minorHAnsi" w:hAnsiTheme="minorHAnsi" w:cstheme="minorHAnsi"/>
          <w:sz w:val="22"/>
        </w:rPr>
        <w:t xml:space="preserve">Spanish data in pre-print from the </w:t>
      </w:r>
      <w:proofErr w:type="spellStart"/>
      <w:r w:rsidR="002C6178">
        <w:rPr>
          <w:rFonts w:asciiTheme="minorHAnsi" w:hAnsiTheme="minorHAnsi" w:cstheme="minorHAnsi"/>
          <w:sz w:val="22"/>
        </w:rPr>
        <w:t>CombivacS</w:t>
      </w:r>
      <w:proofErr w:type="spellEnd"/>
      <w:r w:rsidR="002C6178">
        <w:rPr>
          <w:rFonts w:asciiTheme="minorHAnsi" w:hAnsiTheme="minorHAnsi" w:cstheme="minorHAnsi"/>
          <w:sz w:val="22"/>
        </w:rPr>
        <w:t xml:space="preserve"> trial found that of 441 recipients of a first AstraZen</w:t>
      </w:r>
      <w:r w:rsidR="008D5E4D">
        <w:rPr>
          <w:rFonts w:asciiTheme="minorHAnsi" w:hAnsiTheme="minorHAnsi" w:cstheme="minorHAnsi"/>
          <w:sz w:val="22"/>
        </w:rPr>
        <w:t>e</w:t>
      </w:r>
      <w:r w:rsidR="002C6178">
        <w:rPr>
          <w:rFonts w:asciiTheme="minorHAnsi" w:hAnsiTheme="minorHAnsi" w:cstheme="minorHAnsi"/>
          <w:sz w:val="22"/>
        </w:rPr>
        <w:t xml:space="preserve">ca vaccine who received a second vaccination with Pfizer, </w:t>
      </w:r>
      <w:r w:rsidR="002C6178" w:rsidRPr="002C6178">
        <w:rPr>
          <w:rFonts w:asciiTheme="minorHAnsi" w:hAnsiTheme="minorHAnsi" w:cstheme="minorHAnsi"/>
          <w:sz w:val="22"/>
        </w:rPr>
        <w:t xml:space="preserve">100% exhibited neutralizing antibodies 14 days </w:t>
      </w:r>
      <w:r w:rsidR="002C6178">
        <w:rPr>
          <w:rFonts w:asciiTheme="minorHAnsi" w:hAnsiTheme="minorHAnsi" w:cstheme="minorHAnsi"/>
          <w:sz w:val="22"/>
        </w:rPr>
        <w:t xml:space="preserve">later, </w:t>
      </w:r>
      <w:r w:rsidR="002C6178" w:rsidRPr="002C6178">
        <w:rPr>
          <w:rFonts w:asciiTheme="minorHAnsi" w:hAnsiTheme="minorHAnsi" w:cstheme="minorHAnsi"/>
          <w:sz w:val="22"/>
        </w:rPr>
        <w:t>in comparison to 34.1% at enrolment</w:t>
      </w:r>
      <w:r w:rsidR="002C6178">
        <w:rPr>
          <w:rFonts w:asciiTheme="minorHAnsi" w:hAnsiTheme="minorHAnsi" w:cstheme="minorHAnsi"/>
          <w:sz w:val="22"/>
        </w:rPr>
        <w:t xml:space="preserve"> (</w:t>
      </w:r>
      <w:hyperlink r:id="rId15" w:history="1">
        <w:r w:rsidR="002C6178" w:rsidRPr="00FB023C">
          <w:rPr>
            <w:rStyle w:val="Hyperlink"/>
            <w:rFonts w:asciiTheme="minorHAnsi" w:hAnsiTheme="minorHAnsi" w:cstheme="minorHAnsi"/>
            <w:sz w:val="22"/>
          </w:rPr>
          <w:t>https://ssrn.com/abstract=3854768</w:t>
        </w:r>
      </w:hyperlink>
      <w:r w:rsidR="002C6178">
        <w:rPr>
          <w:rFonts w:asciiTheme="minorHAnsi" w:hAnsiTheme="minorHAnsi" w:cstheme="minorHAnsi"/>
          <w:sz w:val="22"/>
        </w:rPr>
        <w:t>)</w:t>
      </w:r>
      <w:r w:rsidR="002C6178" w:rsidRPr="002C6178">
        <w:rPr>
          <w:rFonts w:asciiTheme="minorHAnsi" w:hAnsiTheme="minorHAnsi" w:cstheme="minorHAnsi"/>
          <w:sz w:val="22"/>
        </w:rPr>
        <w:t>.</w:t>
      </w:r>
      <w:r w:rsidR="002C6178">
        <w:rPr>
          <w:rFonts w:asciiTheme="minorHAnsi" w:hAnsiTheme="minorHAnsi" w:cstheme="minorHAnsi"/>
          <w:sz w:val="22"/>
        </w:rPr>
        <w:t xml:space="preserve">  In the UK, initial data from the Com-COV </w:t>
      </w:r>
      <w:r w:rsidR="00856F41">
        <w:rPr>
          <w:rFonts w:asciiTheme="minorHAnsi" w:hAnsiTheme="minorHAnsi" w:cstheme="minorHAnsi"/>
          <w:sz w:val="22"/>
        </w:rPr>
        <w:t>study found greater reactogenicity (e.g. fever) with heterogeneous Pfizer &amp; AstraZen</w:t>
      </w:r>
      <w:r w:rsidR="00705F67">
        <w:rPr>
          <w:rFonts w:asciiTheme="minorHAnsi" w:hAnsiTheme="minorHAnsi" w:cstheme="minorHAnsi"/>
          <w:sz w:val="22"/>
        </w:rPr>
        <w:t>e</w:t>
      </w:r>
      <w:r w:rsidR="00856F41">
        <w:rPr>
          <w:rFonts w:asciiTheme="minorHAnsi" w:hAnsiTheme="minorHAnsi" w:cstheme="minorHAnsi"/>
          <w:sz w:val="22"/>
        </w:rPr>
        <w:t xml:space="preserve">ca vaccine schedules (Shaw </w:t>
      </w:r>
      <w:r w:rsidR="003215CF">
        <w:rPr>
          <w:rFonts w:asciiTheme="minorHAnsi" w:hAnsiTheme="minorHAnsi" w:cstheme="minorHAnsi"/>
          <w:sz w:val="22"/>
        </w:rPr>
        <w:t xml:space="preserve">et al </w:t>
      </w:r>
      <w:r w:rsidR="00240438">
        <w:rPr>
          <w:rFonts w:asciiTheme="minorHAnsi" w:hAnsiTheme="minorHAnsi" w:cstheme="minorHAnsi"/>
          <w:sz w:val="22"/>
        </w:rPr>
        <w:t>Lancet 2021</w:t>
      </w:r>
      <w:r w:rsidR="00856F41">
        <w:rPr>
          <w:rFonts w:asciiTheme="minorHAnsi" w:hAnsiTheme="minorHAnsi" w:cstheme="minorHAnsi"/>
          <w:sz w:val="22"/>
        </w:rPr>
        <w:t>).</w:t>
      </w:r>
    </w:p>
    <w:p w14:paraId="5477E38F" w14:textId="77777777" w:rsidR="00DC1B86" w:rsidRDefault="00DC1B86" w:rsidP="00F57A2E">
      <w:pPr>
        <w:rPr>
          <w:rFonts w:asciiTheme="minorHAnsi" w:hAnsiTheme="minorHAnsi" w:cstheme="minorHAnsi"/>
          <w:sz w:val="22"/>
        </w:rPr>
      </w:pPr>
    </w:p>
    <w:p w14:paraId="5477E390" w14:textId="4F283D1E" w:rsidR="00DC1B86" w:rsidRDefault="00DC1B86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Current evidence therefore suggests that the risk/benefit balance would favour receiving further Covid-19 vaccination in most cases.  However </w:t>
      </w:r>
      <w:r w:rsidR="00533DC4">
        <w:rPr>
          <w:rFonts w:asciiTheme="minorHAnsi" w:hAnsiTheme="minorHAnsi" w:cstheme="minorHAnsi"/>
          <w:sz w:val="22"/>
        </w:rPr>
        <w:t>the risk/benefit balance should be considered on an individual bases, taking the patients views into consideration</w:t>
      </w:r>
      <w:r w:rsidR="005F3DA4">
        <w:rPr>
          <w:rFonts w:asciiTheme="minorHAnsi" w:hAnsiTheme="minorHAnsi" w:cstheme="minorHAnsi"/>
          <w:sz w:val="22"/>
        </w:rPr>
        <w:t xml:space="preserve"> and d</w:t>
      </w:r>
      <w:r w:rsidR="00533DC4">
        <w:rPr>
          <w:rFonts w:asciiTheme="minorHAnsi" w:hAnsiTheme="minorHAnsi" w:cstheme="minorHAnsi"/>
          <w:sz w:val="22"/>
        </w:rPr>
        <w:t xml:space="preserve">eferral may </w:t>
      </w:r>
      <w:r w:rsidR="005F3DA4">
        <w:rPr>
          <w:rFonts w:asciiTheme="minorHAnsi" w:hAnsiTheme="minorHAnsi" w:cstheme="minorHAnsi"/>
          <w:sz w:val="22"/>
        </w:rPr>
        <w:t>be considered</w:t>
      </w:r>
      <w:r w:rsidR="00533DC4">
        <w:rPr>
          <w:rFonts w:asciiTheme="minorHAnsi" w:hAnsiTheme="minorHAnsi" w:cstheme="minorHAnsi"/>
          <w:sz w:val="22"/>
        </w:rPr>
        <w:t xml:space="preserve"> appropriate in severe and poorly</w:t>
      </w:r>
      <w:r>
        <w:rPr>
          <w:rFonts w:asciiTheme="minorHAnsi" w:hAnsiTheme="minorHAnsi" w:cstheme="minorHAnsi"/>
          <w:sz w:val="22"/>
        </w:rPr>
        <w:t xml:space="preserve"> </w:t>
      </w:r>
      <w:r w:rsidR="00533DC4">
        <w:rPr>
          <w:rFonts w:asciiTheme="minorHAnsi" w:hAnsiTheme="minorHAnsi" w:cstheme="minorHAnsi"/>
          <w:sz w:val="22"/>
        </w:rPr>
        <w:t>controlled cases of ITP/ITP relapse.</w:t>
      </w:r>
    </w:p>
    <w:p w14:paraId="01B4E56A" w14:textId="77777777" w:rsidR="00CC656D" w:rsidRDefault="00CC656D" w:rsidP="00F57A2E">
      <w:pPr>
        <w:rPr>
          <w:rFonts w:asciiTheme="minorHAnsi" w:hAnsiTheme="minorHAnsi" w:cstheme="minorHAnsi"/>
          <w:sz w:val="22"/>
        </w:rPr>
      </w:pPr>
    </w:p>
    <w:p w14:paraId="05D41DE0" w14:textId="77777777" w:rsidR="00C93822" w:rsidRDefault="00C93822" w:rsidP="00F57A2E">
      <w:pPr>
        <w:rPr>
          <w:rFonts w:asciiTheme="minorHAnsi" w:hAnsiTheme="minorHAnsi" w:cstheme="minorHAnsi"/>
          <w:sz w:val="22"/>
        </w:rPr>
      </w:pPr>
    </w:p>
    <w:p w14:paraId="33E5EA98" w14:textId="113357B1" w:rsidR="00076149" w:rsidRPr="00CC656D" w:rsidRDefault="00076149" w:rsidP="00F57A2E">
      <w:pPr>
        <w:rPr>
          <w:rFonts w:asciiTheme="minorHAnsi" w:hAnsiTheme="minorHAnsi" w:cstheme="minorHAnsi"/>
          <w:b/>
          <w:bCs/>
          <w:sz w:val="22"/>
        </w:rPr>
      </w:pPr>
      <w:r w:rsidRPr="00CC656D">
        <w:rPr>
          <w:rFonts w:asciiTheme="minorHAnsi" w:hAnsiTheme="minorHAnsi" w:cstheme="minorHAnsi"/>
          <w:b/>
          <w:bCs/>
          <w:sz w:val="22"/>
        </w:rPr>
        <w:lastRenderedPageBreak/>
        <w:t>References:</w:t>
      </w:r>
    </w:p>
    <w:p w14:paraId="0BEDEEAA" w14:textId="41E9B285" w:rsidR="00D75929" w:rsidRPr="005F460B" w:rsidRDefault="00D75929" w:rsidP="00F57A2E">
      <w:pPr>
        <w:rPr>
          <w:sz w:val="22"/>
        </w:rPr>
      </w:pPr>
    </w:p>
    <w:p w14:paraId="7AFDD2F2" w14:textId="021EE024" w:rsidR="004D509A" w:rsidRDefault="004D509A" w:rsidP="00B97B80">
      <w:r w:rsidRPr="004D509A">
        <w:t xml:space="preserve">British Committee for Standards in Haematology General Haematology Task Force. Guidelines for the investigation and management of idiopathic thrombocytopenic purpura in adults, children and in pregnancy. Br J </w:t>
      </w:r>
      <w:proofErr w:type="spellStart"/>
      <w:r w:rsidRPr="004D509A">
        <w:t>Haematol</w:t>
      </w:r>
      <w:proofErr w:type="spellEnd"/>
      <w:r w:rsidRPr="004D509A">
        <w:t xml:space="preserve">. 2003 Feb;120(4):574-96. </w:t>
      </w:r>
      <w:proofErr w:type="spellStart"/>
      <w:r w:rsidRPr="004D509A">
        <w:t>doi</w:t>
      </w:r>
      <w:proofErr w:type="spellEnd"/>
      <w:r w:rsidRPr="004D509A">
        <w:t>: 10.1046/j.1365-2141.2003.</w:t>
      </w:r>
      <w:proofErr w:type="gramStart"/>
      <w:r w:rsidRPr="004D509A">
        <w:t>04131.x.</w:t>
      </w:r>
      <w:proofErr w:type="gramEnd"/>
      <w:r w:rsidRPr="004D509A">
        <w:t xml:space="preserve"> PMID: 12588344.</w:t>
      </w:r>
    </w:p>
    <w:p w14:paraId="13698D07" w14:textId="5354132B" w:rsidR="00930195" w:rsidRDefault="00930195" w:rsidP="00B97B80"/>
    <w:p w14:paraId="5B70395A" w14:textId="0B297F16" w:rsidR="00930195" w:rsidRDefault="00930195" w:rsidP="00B97B80">
      <w:proofErr w:type="spellStart"/>
      <w:r w:rsidRPr="00930195">
        <w:t>Kuter</w:t>
      </w:r>
      <w:proofErr w:type="spellEnd"/>
      <w:r w:rsidRPr="00930195">
        <w:t xml:space="preserve"> DJ. Exacerbation of immune thrombocytopenia following COVID-19 vaccination. Br J </w:t>
      </w:r>
      <w:proofErr w:type="spellStart"/>
      <w:r w:rsidRPr="00930195">
        <w:t>Haematol</w:t>
      </w:r>
      <w:proofErr w:type="spellEnd"/>
      <w:r w:rsidRPr="00930195">
        <w:t xml:space="preserve">. 2021 Jun 1:10.1111/bjh.17645. </w:t>
      </w:r>
      <w:proofErr w:type="spellStart"/>
      <w:r w:rsidRPr="00930195">
        <w:t>doi</w:t>
      </w:r>
      <w:proofErr w:type="spellEnd"/>
      <w:r w:rsidRPr="00930195">
        <w:t xml:space="preserve">: 10.1111/bjh.17645. </w:t>
      </w:r>
      <w:proofErr w:type="spellStart"/>
      <w:r w:rsidRPr="00930195">
        <w:t>Epub</w:t>
      </w:r>
      <w:proofErr w:type="spellEnd"/>
      <w:r w:rsidRPr="00930195">
        <w:t xml:space="preserve"> ahead of print. PMID: 34075578; PMCID: PMC8239625.</w:t>
      </w:r>
    </w:p>
    <w:p w14:paraId="649FC6E5" w14:textId="77777777" w:rsidR="007330F5" w:rsidRDefault="007330F5" w:rsidP="00B97B80"/>
    <w:p w14:paraId="7BEDA550" w14:textId="2938F81C" w:rsidR="00B97B80" w:rsidRDefault="00B97B80" w:rsidP="00B97B80">
      <w:r w:rsidRPr="00B97B80">
        <w:t xml:space="preserve">Lee EJ, </w:t>
      </w:r>
      <w:proofErr w:type="spellStart"/>
      <w:r w:rsidRPr="00B97B80">
        <w:t>Cines</w:t>
      </w:r>
      <w:proofErr w:type="spellEnd"/>
      <w:r w:rsidRPr="00B97B80">
        <w:t xml:space="preserve"> DB, </w:t>
      </w:r>
      <w:proofErr w:type="spellStart"/>
      <w:r w:rsidRPr="00B97B80">
        <w:t>Gernsheimer</w:t>
      </w:r>
      <w:proofErr w:type="spellEnd"/>
      <w:r w:rsidRPr="00B97B80">
        <w:t xml:space="preserve"> T, Kessler C, Michel M, Tarantino MD, Semple JW, Arnold DM, </w:t>
      </w:r>
      <w:proofErr w:type="spellStart"/>
      <w:r w:rsidRPr="00B97B80">
        <w:t>Godeau</w:t>
      </w:r>
      <w:proofErr w:type="spellEnd"/>
      <w:r w:rsidRPr="00B97B80">
        <w:t xml:space="preserve"> B, Lambert MP, </w:t>
      </w:r>
      <w:proofErr w:type="spellStart"/>
      <w:r w:rsidRPr="00B97B80">
        <w:t>Bussel</w:t>
      </w:r>
      <w:proofErr w:type="spellEnd"/>
      <w:r w:rsidRPr="00B97B80">
        <w:t xml:space="preserve"> JB. Thrombocytopenia following Pfizer and Moderna SARS-CoV-2 vaccination. Am J </w:t>
      </w:r>
      <w:proofErr w:type="spellStart"/>
      <w:r w:rsidRPr="00B97B80">
        <w:t>Hematol</w:t>
      </w:r>
      <w:proofErr w:type="spellEnd"/>
      <w:r w:rsidRPr="00B97B80">
        <w:t xml:space="preserve">. 2021 May 1;96(5):534-537. </w:t>
      </w:r>
      <w:proofErr w:type="spellStart"/>
      <w:r w:rsidRPr="00B97B80">
        <w:t>doi</w:t>
      </w:r>
      <w:proofErr w:type="spellEnd"/>
      <w:r w:rsidRPr="00B97B80">
        <w:t xml:space="preserve">: 10.1002/ajh.26132. </w:t>
      </w:r>
      <w:proofErr w:type="spellStart"/>
      <w:r w:rsidRPr="00B97B80">
        <w:t>Epub</w:t>
      </w:r>
      <w:proofErr w:type="spellEnd"/>
      <w:r w:rsidRPr="00B97B80">
        <w:t xml:space="preserve"> 2021 Mar 9. PMID: 33606296; PMCID: PMC8014568.</w:t>
      </w:r>
    </w:p>
    <w:p w14:paraId="09931DCC" w14:textId="6BEAC37E" w:rsidR="001E78FB" w:rsidRDefault="001E78FB" w:rsidP="00B97B80"/>
    <w:p w14:paraId="441E670C" w14:textId="6781EB3A" w:rsidR="003215CF" w:rsidRDefault="003215CF" w:rsidP="00B97B80">
      <w:r w:rsidRPr="003215CF">
        <w:t xml:space="preserve">Lopez Bernal J, Andrews N, Gower C, Gallagher E, Simmons R, </w:t>
      </w:r>
      <w:proofErr w:type="spellStart"/>
      <w:r w:rsidRPr="003215CF">
        <w:t>Thelwall</w:t>
      </w:r>
      <w:proofErr w:type="spellEnd"/>
      <w:r w:rsidRPr="003215CF">
        <w:t xml:space="preserve"> S, Stowe J, Tessier E, Groves N, </w:t>
      </w:r>
      <w:proofErr w:type="spellStart"/>
      <w:r w:rsidRPr="003215CF">
        <w:t>Dabrera</w:t>
      </w:r>
      <w:proofErr w:type="spellEnd"/>
      <w:r w:rsidRPr="003215CF">
        <w:t xml:space="preserve"> G, Myers R, Campbell CNJ, Amirthalingam G, Edmunds M, </w:t>
      </w:r>
      <w:proofErr w:type="spellStart"/>
      <w:r w:rsidRPr="003215CF">
        <w:t>Zambon</w:t>
      </w:r>
      <w:proofErr w:type="spellEnd"/>
      <w:r w:rsidRPr="003215CF">
        <w:t xml:space="preserve"> M, Brown KE, Hopkins S, Chand M, Ramsay M. Effectiveness of Covid-19 Vaccines against the B.1.617.2 (Delta) Variant. N </w:t>
      </w:r>
      <w:proofErr w:type="spellStart"/>
      <w:r w:rsidRPr="003215CF">
        <w:t>Engl</w:t>
      </w:r>
      <w:proofErr w:type="spellEnd"/>
      <w:r w:rsidRPr="003215CF">
        <w:t xml:space="preserve"> J Med. 2021 Jul 21. </w:t>
      </w:r>
      <w:proofErr w:type="spellStart"/>
      <w:r w:rsidRPr="003215CF">
        <w:t>doi</w:t>
      </w:r>
      <w:proofErr w:type="spellEnd"/>
      <w:r w:rsidRPr="003215CF">
        <w:t xml:space="preserve">: 10.1056/NEJMoa2108891. </w:t>
      </w:r>
      <w:proofErr w:type="spellStart"/>
      <w:r w:rsidRPr="003215CF">
        <w:t>Epub</w:t>
      </w:r>
      <w:proofErr w:type="spellEnd"/>
      <w:r w:rsidRPr="003215CF">
        <w:t xml:space="preserve"> ahead of print. PMID: 34289274.</w:t>
      </w:r>
    </w:p>
    <w:p w14:paraId="5D6408CE" w14:textId="77777777" w:rsidR="003215CF" w:rsidRDefault="003215CF" w:rsidP="00B97B80"/>
    <w:p w14:paraId="5A613ADD" w14:textId="77777777" w:rsidR="00A55432" w:rsidRPr="00A55432" w:rsidRDefault="00A55432" w:rsidP="00A55432">
      <w:r w:rsidRPr="00A55432">
        <w:t xml:space="preserve">Miller E, </w:t>
      </w:r>
      <w:proofErr w:type="spellStart"/>
      <w:r w:rsidRPr="00A55432">
        <w:t>Waight</w:t>
      </w:r>
      <w:proofErr w:type="spellEnd"/>
      <w:r w:rsidRPr="00A55432">
        <w:t xml:space="preserve"> P, Farrington CP, Andrews N, Stowe J, Taylor B. Idiopathic thrombocytopenic purpura and MMR vaccine. Arch Dis Child. 2001 Mar;84(3):227-9. </w:t>
      </w:r>
      <w:proofErr w:type="spellStart"/>
      <w:r w:rsidRPr="00A55432">
        <w:t>doi</w:t>
      </w:r>
      <w:proofErr w:type="spellEnd"/>
      <w:r w:rsidRPr="00A55432">
        <w:t>: 10.1136/adc.84.3.227. PMID: 11207170; PMCID: PMC1718684.</w:t>
      </w:r>
    </w:p>
    <w:p w14:paraId="50EFC549" w14:textId="77777777" w:rsidR="00B97B80" w:rsidRPr="00B97B80" w:rsidRDefault="00B97B80" w:rsidP="00B97B80"/>
    <w:p w14:paraId="19705E95" w14:textId="58D031B6" w:rsidR="00B97B80" w:rsidRDefault="00B97B80" w:rsidP="00B97B80">
      <w:r w:rsidRPr="00B97B80">
        <w:t xml:space="preserve">Pavord, S., </w:t>
      </w:r>
      <w:proofErr w:type="spellStart"/>
      <w:r w:rsidRPr="00B97B80">
        <w:t>Thachil</w:t>
      </w:r>
      <w:proofErr w:type="spellEnd"/>
      <w:r w:rsidRPr="00B97B80">
        <w:t xml:space="preserve">, J., Hunt, B.J., Murphy, M., Lowe, G., Laffan, M., Makris, M., Newland, A.C., </w:t>
      </w:r>
      <w:proofErr w:type="spellStart"/>
      <w:r w:rsidRPr="00B97B80">
        <w:t>Provan</w:t>
      </w:r>
      <w:proofErr w:type="spellEnd"/>
      <w:r w:rsidRPr="00B97B80">
        <w:t xml:space="preserve">, D., Grainger, J.D. and Hill, Q.A. (2020), Practical guidance for the management of adults with immune thrombocytopenia during the COVID-19 pandemic. Br J </w:t>
      </w:r>
      <w:proofErr w:type="spellStart"/>
      <w:r w:rsidRPr="00B97B80">
        <w:t>Haematol</w:t>
      </w:r>
      <w:proofErr w:type="spellEnd"/>
      <w:r w:rsidRPr="00B97B80">
        <w:t>, 189: 1038-1043. </w:t>
      </w:r>
      <w:hyperlink r:id="rId16" w:history="1">
        <w:r w:rsidRPr="00B97B80">
          <w:rPr>
            <w:rStyle w:val="Hyperlink"/>
          </w:rPr>
          <w:t>https://doi.org/10.1111/bjh.16775</w:t>
        </w:r>
      </w:hyperlink>
    </w:p>
    <w:p w14:paraId="460FE8E9" w14:textId="6B670BA8" w:rsidR="00305F3B" w:rsidRDefault="00305F3B" w:rsidP="00B97B80"/>
    <w:p w14:paraId="6B372424" w14:textId="48CAC075" w:rsidR="00305F3B" w:rsidRPr="00B97B80" w:rsidRDefault="00305F3B" w:rsidP="00B97B80">
      <w:proofErr w:type="spellStart"/>
      <w:r w:rsidRPr="00305F3B">
        <w:t>Provan</w:t>
      </w:r>
      <w:proofErr w:type="spellEnd"/>
      <w:r w:rsidRPr="00305F3B">
        <w:t xml:space="preserve"> D, Arnold DM, </w:t>
      </w:r>
      <w:proofErr w:type="spellStart"/>
      <w:r w:rsidRPr="00305F3B">
        <w:t>Bussel</w:t>
      </w:r>
      <w:proofErr w:type="spellEnd"/>
      <w:r w:rsidRPr="00305F3B">
        <w:t xml:space="preserve"> JB, Chong BH, Cooper N, </w:t>
      </w:r>
      <w:proofErr w:type="spellStart"/>
      <w:r w:rsidRPr="00305F3B">
        <w:t>Gernsheimer</w:t>
      </w:r>
      <w:proofErr w:type="spellEnd"/>
      <w:r w:rsidRPr="00305F3B">
        <w:t xml:space="preserve"> T, </w:t>
      </w:r>
      <w:proofErr w:type="spellStart"/>
      <w:r w:rsidRPr="00305F3B">
        <w:t>Ghanima</w:t>
      </w:r>
      <w:proofErr w:type="spellEnd"/>
      <w:r w:rsidRPr="00305F3B">
        <w:t xml:space="preserve"> W, </w:t>
      </w:r>
      <w:proofErr w:type="spellStart"/>
      <w:r w:rsidRPr="00305F3B">
        <w:t>Godeau</w:t>
      </w:r>
      <w:proofErr w:type="spellEnd"/>
      <w:r w:rsidRPr="00305F3B">
        <w:t xml:space="preserve"> B, González-López TJ, Grainger J, Hou M, Kruse C, McDonald V, Michel M, Newland AC, Pavord S, Rodeghiero F, Scully M, Tomiyama Y, Wong RS, </w:t>
      </w:r>
      <w:proofErr w:type="spellStart"/>
      <w:r w:rsidRPr="00305F3B">
        <w:t>Zaja</w:t>
      </w:r>
      <w:proofErr w:type="spellEnd"/>
      <w:r w:rsidRPr="00305F3B">
        <w:t xml:space="preserve"> F, </w:t>
      </w:r>
      <w:proofErr w:type="spellStart"/>
      <w:r w:rsidRPr="00305F3B">
        <w:t>Kuter</w:t>
      </w:r>
      <w:proofErr w:type="spellEnd"/>
      <w:r w:rsidRPr="00305F3B">
        <w:t xml:space="preserve"> DJ. Updated international consensus report on the investigation and management of primary immune thrombocytopenia. Blood Adv. 2019 Nov 26;3(22):3780-3817. </w:t>
      </w:r>
      <w:proofErr w:type="spellStart"/>
      <w:r w:rsidRPr="00305F3B">
        <w:t>doi</w:t>
      </w:r>
      <w:proofErr w:type="spellEnd"/>
      <w:r w:rsidRPr="00305F3B">
        <w:t>: 10.1182/bloodadvances.2019000812. PMID: 31770441; PMCID: PMC6880896.</w:t>
      </w:r>
    </w:p>
    <w:p w14:paraId="55E958E9" w14:textId="77777777" w:rsidR="00301999" w:rsidRDefault="00301999" w:rsidP="00B97B80"/>
    <w:p w14:paraId="2AF33FAC" w14:textId="1B5A5689" w:rsidR="00240438" w:rsidRDefault="00240438" w:rsidP="00240438">
      <w:r w:rsidRPr="00240438">
        <w:t>Shaw</w:t>
      </w:r>
      <w:r>
        <w:t xml:space="preserve"> RH, </w:t>
      </w:r>
      <w:r w:rsidRPr="00240438">
        <w:t xml:space="preserve">Stuart </w:t>
      </w:r>
      <w:r>
        <w:t>A,</w:t>
      </w:r>
      <w:r w:rsidRPr="00240438">
        <w:t xml:space="preserve"> Greenland </w:t>
      </w:r>
      <w:r>
        <w:t>M</w:t>
      </w:r>
      <w:r w:rsidRPr="00240438">
        <w:t xml:space="preserve">, Liu </w:t>
      </w:r>
      <w:r>
        <w:t>X</w:t>
      </w:r>
      <w:r w:rsidRPr="00240438">
        <w:t xml:space="preserve">, Van-Tam </w:t>
      </w:r>
      <w:r>
        <w:t>JSN</w:t>
      </w:r>
      <w:r w:rsidRPr="00240438">
        <w:t xml:space="preserve">2, Snape </w:t>
      </w:r>
      <w:r>
        <w:t>MD</w:t>
      </w:r>
      <w:r w:rsidRPr="00240438">
        <w:t>, Com-COV Study Group</w:t>
      </w:r>
      <w:r>
        <w:t xml:space="preserve">. </w:t>
      </w:r>
      <w:r w:rsidRPr="00240438">
        <w:t>Heterologous prime-boost COVID-19 vaccination: initial reactogenicity data</w:t>
      </w:r>
      <w:r>
        <w:t xml:space="preserve"> Lancet</w:t>
      </w:r>
    </w:p>
    <w:p w14:paraId="76EC8711" w14:textId="1156C4EE" w:rsidR="00240438" w:rsidRDefault="00240438" w:rsidP="00240438">
      <w:r>
        <w:t xml:space="preserve">. 2021 May 29;397(10289):2043-2046. </w:t>
      </w:r>
      <w:proofErr w:type="spellStart"/>
      <w:r>
        <w:t>doi</w:t>
      </w:r>
      <w:proofErr w:type="spellEnd"/>
      <w:r>
        <w:t xml:space="preserve">: 10.1016/S0140-6736(21)01115-6. </w:t>
      </w:r>
      <w:proofErr w:type="spellStart"/>
      <w:r>
        <w:t>Epub</w:t>
      </w:r>
      <w:proofErr w:type="spellEnd"/>
      <w:r>
        <w:t xml:space="preserve"> 2021 May 12. </w:t>
      </w:r>
      <w:r w:rsidRPr="00240438">
        <w:t>PMID: 33991480 PMCID: PMC8115940</w:t>
      </w:r>
    </w:p>
    <w:p w14:paraId="6B069FD8" w14:textId="77777777" w:rsidR="00240438" w:rsidRPr="00B97B80" w:rsidRDefault="00240438" w:rsidP="00B97B80"/>
    <w:p w14:paraId="3D726C16" w14:textId="358AD8CB" w:rsidR="00D75929" w:rsidRPr="00C93822" w:rsidRDefault="00B97B80" w:rsidP="00F57A2E">
      <w:r w:rsidRPr="00B97B80">
        <w:t xml:space="preserve">Simpson CR, Shi T, </w:t>
      </w:r>
      <w:proofErr w:type="spellStart"/>
      <w:r w:rsidRPr="00B97B80">
        <w:t>Vasileiou</w:t>
      </w:r>
      <w:proofErr w:type="spellEnd"/>
      <w:r w:rsidRPr="00B97B80">
        <w:t xml:space="preserve"> E, </w:t>
      </w:r>
      <w:proofErr w:type="spellStart"/>
      <w:r w:rsidRPr="00B97B80">
        <w:t>Katikireddi</w:t>
      </w:r>
      <w:proofErr w:type="spellEnd"/>
      <w:r w:rsidRPr="00B97B80">
        <w:t xml:space="preserve"> SV, Kerr S, Moore E, McCowan C, Agrawal U, Shah SA, Ritchie LD, Murray J, Pan J, Bradley DT, Stock SJ, Wood R, </w:t>
      </w:r>
      <w:proofErr w:type="spellStart"/>
      <w:r w:rsidRPr="00B97B80">
        <w:t>Chuter</w:t>
      </w:r>
      <w:proofErr w:type="spellEnd"/>
      <w:r w:rsidRPr="00B97B80">
        <w:t xml:space="preserve"> A, </w:t>
      </w:r>
      <w:proofErr w:type="spellStart"/>
      <w:r w:rsidRPr="00B97B80">
        <w:t>Beggs</w:t>
      </w:r>
      <w:proofErr w:type="spellEnd"/>
      <w:r w:rsidRPr="00B97B80">
        <w:t xml:space="preserve"> J, Stagg HR, Joy M, Tsang RSM, de Lusignan S, Hobbs R, Lyons RA, </w:t>
      </w:r>
      <w:proofErr w:type="spellStart"/>
      <w:r w:rsidRPr="00B97B80">
        <w:t>Torabi</w:t>
      </w:r>
      <w:proofErr w:type="spellEnd"/>
      <w:r w:rsidRPr="00B97B80">
        <w:t xml:space="preserve"> F, </w:t>
      </w:r>
      <w:proofErr w:type="spellStart"/>
      <w:r w:rsidRPr="00B97B80">
        <w:t>Bedston</w:t>
      </w:r>
      <w:proofErr w:type="spellEnd"/>
      <w:r w:rsidRPr="00B97B80">
        <w:t xml:space="preserve"> S, O'Leary M, Akbari A, McMenamin J, Robertson C, Sheikh A. First-dose ChAdOx1 and BNT162b2 COVID-19 vaccines and thrombocytopenic, thromboembolic and </w:t>
      </w:r>
      <w:proofErr w:type="spellStart"/>
      <w:r w:rsidRPr="00B97B80">
        <w:t>hemorrhagic</w:t>
      </w:r>
      <w:proofErr w:type="spellEnd"/>
      <w:r w:rsidRPr="00B97B80">
        <w:t xml:space="preserve"> events in Scotland. Nat Med. 2021 Jul;27(7):1290-1297. </w:t>
      </w:r>
      <w:proofErr w:type="spellStart"/>
      <w:r w:rsidRPr="00B97B80">
        <w:t>doi</w:t>
      </w:r>
      <w:proofErr w:type="spellEnd"/>
      <w:r w:rsidRPr="00B97B80">
        <w:t xml:space="preserve">: 10.1038/s41591-021-01408-4. </w:t>
      </w:r>
      <w:proofErr w:type="spellStart"/>
      <w:r w:rsidRPr="00B97B80">
        <w:t>Epub</w:t>
      </w:r>
      <w:proofErr w:type="spellEnd"/>
      <w:r w:rsidRPr="00B97B80">
        <w:t xml:space="preserve"> 2021 Jun 9. PMID: 34108714; PMCID: PMC8282499.</w:t>
      </w:r>
    </w:p>
    <w:sectPr w:rsidR="00D75929" w:rsidRPr="00C9382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FC99" w14:textId="77777777" w:rsidR="005724B1" w:rsidRDefault="005724B1" w:rsidP="00AD632A">
      <w:r>
        <w:separator/>
      </w:r>
    </w:p>
  </w:endnote>
  <w:endnote w:type="continuationSeparator" w:id="0">
    <w:p w14:paraId="01AC59A1" w14:textId="77777777" w:rsidR="005724B1" w:rsidRDefault="005724B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E396" w14:textId="77777777" w:rsidR="00AD632A" w:rsidRPr="00AD632A" w:rsidRDefault="005A1448">
    <w:pPr>
      <w:pStyle w:val="Footer"/>
      <w:rPr>
        <w:sz w:val="16"/>
        <w:szCs w:val="16"/>
      </w:rPr>
    </w:pPr>
    <w:r>
      <w:rPr>
        <w:sz w:val="16"/>
        <w:szCs w:val="16"/>
      </w:rPr>
      <w:t>Authors: Drs Quentin Hill, Vickie McDonald, Nichola Cooper &amp; Sue Pavord.</w:t>
    </w:r>
    <w:r w:rsidRPr="00AD632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5EA2" w14:textId="77777777" w:rsidR="005724B1" w:rsidRDefault="005724B1" w:rsidP="00AD632A">
      <w:r>
        <w:separator/>
      </w:r>
    </w:p>
  </w:footnote>
  <w:footnote w:type="continuationSeparator" w:id="0">
    <w:p w14:paraId="74274CC0" w14:textId="77777777" w:rsidR="005724B1" w:rsidRDefault="005724B1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F23"/>
    <w:multiLevelType w:val="hybridMultilevel"/>
    <w:tmpl w:val="1408E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95EB4"/>
    <w:multiLevelType w:val="hybridMultilevel"/>
    <w:tmpl w:val="EB18A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C6B74"/>
    <w:multiLevelType w:val="hybridMultilevel"/>
    <w:tmpl w:val="339C5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0B"/>
    <w:rsid w:val="0001796E"/>
    <w:rsid w:val="00026836"/>
    <w:rsid w:val="0005779C"/>
    <w:rsid w:val="0007541E"/>
    <w:rsid w:val="00076149"/>
    <w:rsid w:val="000D0EEF"/>
    <w:rsid w:val="000F1D31"/>
    <w:rsid w:val="00105DA8"/>
    <w:rsid w:val="00125D11"/>
    <w:rsid w:val="00167EC2"/>
    <w:rsid w:val="0017562E"/>
    <w:rsid w:val="00190278"/>
    <w:rsid w:val="001C5E04"/>
    <w:rsid w:val="001E78FB"/>
    <w:rsid w:val="001F2549"/>
    <w:rsid w:val="001F502B"/>
    <w:rsid w:val="00240438"/>
    <w:rsid w:val="00244A2E"/>
    <w:rsid w:val="00245424"/>
    <w:rsid w:val="00250682"/>
    <w:rsid w:val="00297C99"/>
    <w:rsid w:val="002C6178"/>
    <w:rsid w:val="002D3AB3"/>
    <w:rsid w:val="002F29BC"/>
    <w:rsid w:val="002F4C5D"/>
    <w:rsid w:val="00301999"/>
    <w:rsid w:val="00305F3B"/>
    <w:rsid w:val="003215CF"/>
    <w:rsid w:val="003730C1"/>
    <w:rsid w:val="003A6BEF"/>
    <w:rsid w:val="003B7BB8"/>
    <w:rsid w:val="003C1BD8"/>
    <w:rsid w:val="003E168E"/>
    <w:rsid w:val="0047603D"/>
    <w:rsid w:val="004A2491"/>
    <w:rsid w:val="004B43D7"/>
    <w:rsid w:val="004D509A"/>
    <w:rsid w:val="004E3474"/>
    <w:rsid w:val="00521312"/>
    <w:rsid w:val="00523918"/>
    <w:rsid w:val="00533DC4"/>
    <w:rsid w:val="00564DBA"/>
    <w:rsid w:val="00564EC6"/>
    <w:rsid w:val="005724B1"/>
    <w:rsid w:val="00582B6F"/>
    <w:rsid w:val="00584EB6"/>
    <w:rsid w:val="005A1448"/>
    <w:rsid w:val="005A1DA5"/>
    <w:rsid w:val="005C7029"/>
    <w:rsid w:val="005E2C5A"/>
    <w:rsid w:val="005F3DA4"/>
    <w:rsid w:val="005F460B"/>
    <w:rsid w:val="00675309"/>
    <w:rsid w:val="00677573"/>
    <w:rsid w:val="006A07F6"/>
    <w:rsid w:val="007047C6"/>
    <w:rsid w:val="00705F67"/>
    <w:rsid w:val="007330F5"/>
    <w:rsid w:val="00736577"/>
    <w:rsid w:val="007436EB"/>
    <w:rsid w:val="007C6E1F"/>
    <w:rsid w:val="0080328D"/>
    <w:rsid w:val="008043AE"/>
    <w:rsid w:val="00835FA3"/>
    <w:rsid w:val="00852334"/>
    <w:rsid w:val="00856F41"/>
    <w:rsid w:val="008B0046"/>
    <w:rsid w:val="008B5104"/>
    <w:rsid w:val="008B6A64"/>
    <w:rsid w:val="008C1671"/>
    <w:rsid w:val="008D5E4D"/>
    <w:rsid w:val="008F411E"/>
    <w:rsid w:val="00913010"/>
    <w:rsid w:val="00930195"/>
    <w:rsid w:val="0098219E"/>
    <w:rsid w:val="009912D0"/>
    <w:rsid w:val="009F77D6"/>
    <w:rsid w:val="00A04A3B"/>
    <w:rsid w:val="00A55432"/>
    <w:rsid w:val="00A64027"/>
    <w:rsid w:val="00A768B0"/>
    <w:rsid w:val="00A82382"/>
    <w:rsid w:val="00A82790"/>
    <w:rsid w:val="00AA7FC3"/>
    <w:rsid w:val="00AD632A"/>
    <w:rsid w:val="00AF1595"/>
    <w:rsid w:val="00AF56F3"/>
    <w:rsid w:val="00B6468C"/>
    <w:rsid w:val="00B97B80"/>
    <w:rsid w:val="00BC6A2B"/>
    <w:rsid w:val="00BD2340"/>
    <w:rsid w:val="00BE7254"/>
    <w:rsid w:val="00C102ED"/>
    <w:rsid w:val="00C3593C"/>
    <w:rsid w:val="00C50259"/>
    <w:rsid w:val="00C7557C"/>
    <w:rsid w:val="00C93822"/>
    <w:rsid w:val="00CC2680"/>
    <w:rsid w:val="00CC656D"/>
    <w:rsid w:val="00CE3F00"/>
    <w:rsid w:val="00D043CE"/>
    <w:rsid w:val="00D2110B"/>
    <w:rsid w:val="00D306E6"/>
    <w:rsid w:val="00D75929"/>
    <w:rsid w:val="00DC1B86"/>
    <w:rsid w:val="00DF5A90"/>
    <w:rsid w:val="00E37903"/>
    <w:rsid w:val="00E41BC7"/>
    <w:rsid w:val="00E553D7"/>
    <w:rsid w:val="00E64789"/>
    <w:rsid w:val="00E85B8A"/>
    <w:rsid w:val="00EE34D5"/>
    <w:rsid w:val="00F3109F"/>
    <w:rsid w:val="00F44326"/>
    <w:rsid w:val="00F51277"/>
    <w:rsid w:val="00F57A2E"/>
    <w:rsid w:val="00F64DBE"/>
    <w:rsid w:val="00F7388A"/>
    <w:rsid w:val="00FA0AAB"/>
    <w:rsid w:val="00FA7D8F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77E34A"/>
  <w15:docId w15:val="{02270877-E267-4FAF-AA6B-2430C437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5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E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3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B80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105DA8"/>
  </w:style>
  <w:style w:type="character" w:customStyle="1" w:styleId="docsum-journal-citation">
    <w:name w:val="docsum-journal-citation"/>
    <w:basedOn w:val="DefaultParagraphFont"/>
    <w:rsid w:val="00105DA8"/>
  </w:style>
  <w:style w:type="character" w:customStyle="1" w:styleId="citation-part">
    <w:name w:val="citation-part"/>
    <w:basedOn w:val="DefaultParagraphFont"/>
    <w:rsid w:val="00105DA8"/>
  </w:style>
  <w:style w:type="character" w:customStyle="1" w:styleId="docsum-pmid">
    <w:name w:val="docsum-pmid"/>
    <w:basedOn w:val="DefaultParagraphFont"/>
    <w:rsid w:val="0010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survey.phe.org.uk/snapwebhost/s.asp?k=162574113593" TargetMode="External"/><Relationship Id="rId13" Type="http://schemas.openxmlformats.org/officeDocument/2006/relationships/hyperlink" Target="http://arma.uk.net/covid-19-vaccination-and-m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the-green-book-chapter-14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bjh.16775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jYyOWQ5OGMtYjE5YS00MTQ2LTk3YjItNzVjNTFlMGZhMTQy%40thread.v2/0?context=%7b%22Tid%22%3a%2237c354b2-85b0-47f5-b222-07b48d774ee3%22%2c%22Oid%22%3a%22ead49e4b-21d0-4ce2-942a-7df928dc069b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rn.com/abstract=3854768" TargetMode="External"/><Relationship Id="rId10" Type="http://schemas.openxmlformats.org/officeDocument/2006/relationships/hyperlink" Target="https://b-s-h.org.uk/about-us/news/guidance-produced-by-the-expert-haematology-panel-ehp-focussed-on-vaccine-induced-thrombosis-and-thrombocytopenia-vit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utt.ly/haem_AE" TargetMode="External"/><Relationship Id="rId14" Type="http://schemas.openxmlformats.org/officeDocument/2006/relationships/hyperlink" Target="https://khub.net/documents/135939561/430986542/RCGP+VE+riskgroups+paper.pdf/a6b54cd9-419d-9b63-e2bf-5dc796f5a91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804211074940AA1ED2E27647FE59" ma:contentTypeVersion="11" ma:contentTypeDescription="Create a new document." ma:contentTypeScope="" ma:versionID="1cf029f75168088138b593097ebc1ccb">
  <xsd:schema xmlns:xsd="http://www.w3.org/2001/XMLSchema" xmlns:xs="http://www.w3.org/2001/XMLSchema" xmlns:p="http://schemas.microsoft.com/office/2006/metadata/properties" xmlns:ns2="bfc2bb8c-ad0a-46dc-b4b4-f4fefdf98ebf" xmlns:ns3="ddf2ad5a-f97e-4ac3-84dc-368e07c9ecaf" targetNamespace="http://schemas.microsoft.com/office/2006/metadata/properties" ma:root="true" ma:fieldsID="4aa45efd027285a741996ff0afa97995" ns2:_="" ns3:_="">
    <xsd:import namespace="bfc2bb8c-ad0a-46dc-b4b4-f4fefdf98ebf"/>
    <xsd:import namespace="ddf2ad5a-f97e-4ac3-84dc-368e07c9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bb8c-ad0a-46dc-b4b4-f4fefdf9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2ad5a-f97e-4ac3-84dc-368e07c9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CCFB9-6436-4AEE-BF54-DE1E03832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4D33C-9D8A-4355-A0E3-22198DC9A4E6}"/>
</file>

<file path=customXml/itemProps3.xml><?xml version="1.0" encoding="utf-8"?>
<ds:datastoreItem xmlns:ds="http://schemas.openxmlformats.org/officeDocument/2006/customXml" ds:itemID="{0A6674EF-6844-42E6-9BCA-E9F7D4B964F7}"/>
</file>

<file path=customXml/itemProps4.xml><?xml version="1.0" encoding="utf-8"?>
<ds:datastoreItem xmlns:ds="http://schemas.openxmlformats.org/officeDocument/2006/customXml" ds:itemID="{D80ABE96-9043-42A8-8548-CD0190201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11432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Hill</dc:creator>
  <cp:keywords/>
  <dc:description/>
  <cp:lastModifiedBy>Saskia Ottignon</cp:lastModifiedBy>
  <cp:revision>2</cp:revision>
  <dcterms:created xsi:type="dcterms:W3CDTF">2021-08-19T08:29:00Z</dcterms:created>
  <dcterms:modified xsi:type="dcterms:W3CDTF">2021-08-19T08:29:00Z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0x01010054D7804211074940AA1ED2E27647FE59</vt:lpwstr>
  </property>
</Properties>
</file>