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4401" w14:textId="6FA473E7" w:rsidR="00E25CBC" w:rsidRDefault="00C50F23" w:rsidP="00D3708B">
      <w:pPr>
        <w:rPr>
          <w:rFonts w:ascii="Open Sans" w:hAnsi="Open Sans" w:cs="Open Sans"/>
          <w:b/>
          <w:sz w:val="32"/>
          <w:szCs w:val="32"/>
        </w:rPr>
      </w:pPr>
      <w:r>
        <w:rPr>
          <w:rFonts w:ascii="Open Sans" w:hAnsi="Open Sans" w:cs="Open Sans"/>
          <w:b/>
          <w:sz w:val="32"/>
          <w:szCs w:val="32"/>
        </w:rPr>
        <w:t>G</w:t>
      </w:r>
      <w:r w:rsidR="00B42E2E">
        <w:rPr>
          <w:rFonts w:ascii="Open Sans" w:hAnsi="Open Sans" w:cs="Open Sans"/>
          <w:b/>
          <w:sz w:val="32"/>
          <w:szCs w:val="32"/>
        </w:rPr>
        <w:t>rant</w:t>
      </w:r>
      <w:r w:rsidR="007A7E16">
        <w:rPr>
          <w:rFonts w:ascii="Open Sans" w:hAnsi="Open Sans" w:cs="Open Sans"/>
          <w:b/>
          <w:sz w:val="32"/>
          <w:szCs w:val="32"/>
        </w:rPr>
        <w:t xml:space="preserve"> </w:t>
      </w:r>
      <w:r>
        <w:rPr>
          <w:rFonts w:ascii="Open Sans" w:hAnsi="Open Sans" w:cs="Open Sans"/>
          <w:b/>
          <w:sz w:val="32"/>
          <w:szCs w:val="32"/>
        </w:rPr>
        <w:t>I</w:t>
      </w:r>
      <w:r w:rsidR="007A7E16">
        <w:rPr>
          <w:rFonts w:ascii="Open Sans" w:hAnsi="Open Sans" w:cs="Open Sans"/>
          <w:b/>
          <w:sz w:val="32"/>
          <w:szCs w:val="32"/>
        </w:rPr>
        <w:t xml:space="preserve">mpact </w:t>
      </w:r>
      <w:r>
        <w:rPr>
          <w:rFonts w:ascii="Open Sans" w:hAnsi="Open Sans" w:cs="Open Sans"/>
          <w:b/>
          <w:sz w:val="32"/>
          <w:szCs w:val="32"/>
        </w:rPr>
        <w:t>R</w:t>
      </w:r>
      <w:r w:rsidR="007A7E16">
        <w:rPr>
          <w:rFonts w:ascii="Open Sans" w:hAnsi="Open Sans" w:cs="Open Sans"/>
          <w:b/>
          <w:sz w:val="32"/>
          <w:szCs w:val="32"/>
        </w:rPr>
        <w:t>eport</w:t>
      </w:r>
    </w:p>
    <w:p w14:paraId="2248B33B" w14:textId="77777777" w:rsidR="00CD1696" w:rsidRPr="00CD1696" w:rsidRDefault="00CD1696" w:rsidP="00926515">
      <w:pPr>
        <w:rPr>
          <w:rFonts w:ascii="Calibri" w:hAnsi="Calibri"/>
        </w:rPr>
      </w:pPr>
    </w:p>
    <w:tbl>
      <w:tblPr>
        <w:tblStyle w:val="TableGrid"/>
        <w:tblW w:w="0" w:type="auto"/>
        <w:tblLook w:val="04A0" w:firstRow="1" w:lastRow="0" w:firstColumn="1" w:lastColumn="0" w:noHBand="0" w:noVBand="1"/>
      </w:tblPr>
      <w:tblGrid>
        <w:gridCol w:w="2122"/>
        <w:gridCol w:w="6894"/>
      </w:tblGrid>
      <w:tr w:rsidR="00926515" w14:paraId="0885695C" w14:textId="77777777" w:rsidTr="00B42E2E">
        <w:trPr>
          <w:trHeight w:val="535"/>
        </w:trPr>
        <w:tc>
          <w:tcPr>
            <w:tcW w:w="2122" w:type="dxa"/>
          </w:tcPr>
          <w:p w14:paraId="5A10A23E" w14:textId="77777777" w:rsidR="00926515" w:rsidRDefault="00316CBF" w:rsidP="00926515">
            <w:pPr>
              <w:rPr>
                <w:rFonts w:ascii="Open Sans" w:hAnsi="Open Sans" w:cs="Open Sans"/>
              </w:rPr>
            </w:pPr>
            <w:r>
              <w:rPr>
                <w:rFonts w:ascii="Open Sans" w:hAnsi="Open Sans" w:cs="Open Sans"/>
              </w:rPr>
              <w:t>Name</w:t>
            </w:r>
          </w:p>
        </w:tc>
        <w:tc>
          <w:tcPr>
            <w:tcW w:w="6894" w:type="dxa"/>
          </w:tcPr>
          <w:p w14:paraId="4B2D0D1F" w14:textId="4379847E" w:rsidR="00926515" w:rsidRDefault="00736ECF" w:rsidP="00926515">
            <w:pPr>
              <w:rPr>
                <w:rFonts w:ascii="Open Sans" w:hAnsi="Open Sans" w:cs="Open Sans"/>
              </w:rPr>
            </w:pPr>
            <w:r>
              <w:rPr>
                <w:rFonts w:ascii="Open Sans" w:hAnsi="Open Sans" w:cs="Open Sans"/>
              </w:rPr>
              <w:t>Dr Cristina Pina</w:t>
            </w:r>
          </w:p>
          <w:p w14:paraId="1A5D4DFC" w14:textId="77777777" w:rsidR="00B41697" w:rsidRDefault="00B41697" w:rsidP="00926515">
            <w:pPr>
              <w:rPr>
                <w:rFonts w:ascii="Open Sans" w:hAnsi="Open Sans" w:cs="Open Sans"/>
              </w:rPr>
            </w:pPr>
          </w:p>
        </w:tc>
      </w:tr>
      <w:tr w:rsidR="00926515" w14:paraId="0B2C5939" w14:textId="77777777" w:rsidTr="00B42E2E">
        <w:trPr>
          <w:trHeight w:val="535"/>
        </w:trPr>
        <w:tc>
          <w:tcPr>
            <w:tcW w:w="2122" w:type="dxa"/>
          </w:tcPr>
          <w:p w14:paraId="0127935E" w14:textId="77777777" w:rsidR="00926515" w:rsidRDefault="00316CBF" w:rsidP="00926515">
            <w:pPr>
              <w:rPr>
                <w:rFonts w:ascii="Open Sans" w:hAnsi="Open Sans" w:cs="Open Sans"/>
              </w:rPr>
            </w:pPr>
            <w:r>
              <w:rPr>
                <w:rFonts w:ascii="Open Sans" w:hAnsi="Open Sans" w:cs="Open Sans"/>
              </w:rPr>
              <w:t>Job title</w:t>
            </w:r>
          </w:p>
        </w:tc>
        <w:tc>
          <w:tcPr>
            <w:tcW w:w="6894" w:type="dxa"/>
          </w:tcPr>
          <w:p w14:paraId="664D1F50" w14:textId="19EF1097" w:rsidR="00926515" w:rsidRDefault="00524066" w:rsidP="00926515">
            <w:pPr>
              <w:rPr>
                <w:rFonts w:ascii="Open Sans" w:hAnsi="Open Sans" w:cs="Open Sans"/>
              </w:rPr>
            </w:pPr>
            <w:r>
              <w:rPr>
                <w:rFonts w:ascii="Open Sans" w:hAnsi="Open Sans" w:cs="Open Sans"/>
              </w:rPr>
              <w:t>Lecturer in Biomedical Sciences</w:t>
            </w:r>
          </w:p>
          <w:p w14:paraId="37B739AC" w14:textId="77777777" w:rsidR="00B41697" w:rsidRDefault="00B41697" w:rsidP="00926515">
            <w:pPr>
              <w:rPr>
                <w:rFonts w:ascii="Open Sans" w:hAnsi="Open Sans" w:cs="Open Sans"/>
              </w:rPr>
            </w:pPr>
          </w:p>
        </w:tc>
      </w:tr>
      <w:tr w:rsidR="00926515" w14:paraId="0A661BA7" w14:textId="77777777" w:rsidTr="00B42E2E">
        <w:trPr>
          <w:trHeight w:val="535"/>
        </w:trPr>
        <w:tc>
          <w:tcPr>
            <w:tcW w:w="2122" w:type="dxa"/>
          </w:tcPr>
          <w:p w14:paraId="3F679C19" w14:textId="77777777" w:rsidR="00926515" w:rsidRDefault="00316CBF" w:rsidP="00926515">
            <w:pPr>
              <w:rPr>
                <w:rFonts w:ascii="Open Sans" w:hAnsi="Open Sans" w:cs="Open Sans"/>
              </w:rPr>
            </w:pPr>
            <w:r>
              <w:rPr>
                <w:rFonts w:ascii="Open Sans" w:hAnsi="Open Sans" w:cs="Open Sans"/>
              </w:rPr>
              <w:t>Organisation</w:t>
            </w:r>
          </w:p>
        </w:tc>
        <w:tc>
          <w:tcPr>
            <w:tcW w:w="6894" w:type="dxa"/>
          </w:tcPr>
          <w:p w14:paraId="04DC545C" w14:textId="77936BF7" w:rsidR="00926515" w:rsidRDefault="007558B8" w:rsidP="00926515">
            <w:pPr>
              <w:rPr>
                <w:rFonts w:ascii="Open Sans" w:hAnsi="Open Sans" w:cs="Open Sans"/>
              </w:rPr>
            </w:pPr>
            <w:r>
              <w:rPr>
                <w:rFonts w:ascii="Open Sans" w:hAnsi="Open Sans" w:cs="Open Sans"/>
              </w:rPr>
              <w:t>Brunel University London</w:t>
            </w:r>
          </w:p>
          <w:p w14:paraId="139D08C5" w14:textId="77777777" w:rsidR="00B41697" w:rsidRDefault="00B41697" w:rsidP="00926515">
            <w:pPr>
              <w:rPr>
                <w:rFonts w:ascii="Open Sans" w:hAnsi="Open Sans" w:cs="Open Sans"/>
              </w:rPr>
            </w:pPr>
          </w:p>
        </w:tc>
      </w:tr>
      <w:tr w:rsidR="002C6387" w14:paraId="2696EA38" w14:textId="77777777" w:rsidTr="00B42E2E">
        <w:trPr>
          <w:trHeight w:val="535"/>
        </w:trPr>
        <w:tc>
          <w:tcPr>
            <w:tcW w:w="2122" w:type="dxa"/>
          </w:tcPr>
          <w:p w14:paraId="0A3F7DFC" w14:textId="77777777" w:rsidR="002C6387" w:rsidRDefault="002C6387" w:rsidP="00926515">
            <w:pPr>
              <w:rPr>
                <w:rFonts w:ascii="Open Sans" w:hAnsi="Open Sans" w:cs="Open Sans"/>
              </w:rPr>
            </w:pPr>
            <w:r>
              <w:rPr>
                <w:rFonts w:ascii="Open Sans" w:hAnsi="Open Sans" w:cs="Open Sans"/>
              </w:rPr>
              <w:t>Co-investigators (if applicable)</w:t>
            </w:r>
          </w:p>
        </w:tc>
        <w:tc>
          <w:tcPr>
            <w:tcW w:w="6894" w:type="dxa"/>
          </w:tcPr>
          <w:p w14:paraId="40D0D562" w14:textId="7E338548" w:rsidR="002C6387" w:rsidRDefault="000A2A10" w:rsidP="00926515">
            <w:pPr>
              <w:rPr>
                <w:rFonts w:ascii="Open Sans" w:hAnsi="Open Sans" w:cs="Open Sans"/>
              </w:rPr>
            </w:pPr>
            <w:r>
              <w:rPr>
                <w:rFonts w:ascii="Open Sans" w:hAnsi="Open Sans" w:cs="Open Sans"/>
              </w:rPr>
              <w:t>N/A</w:t>
            </w:r>
          </w:p>
        </w:tc>
      </w:tr>
      <w:tr w:rsidR="007A7E16" w14:paraId="649AA5D8" w14:textId="77777777" w:rsidTr="00B42E2E">
        <w:trPr>
          <w:trHeight w:val="535"/>
        </w:trPr>
        <w:tc>
          <w:tcPr>
            <w:tcW w:w="2122" w:type="dxa"/>
          </w:tcPr>
          <w:p w14:paraId="06A4231D" w14:textId="77777777" w:rsidR="007A7E16" w:rsidRDefault="007A7E16" w:rsidP="00926515">
            <w:pPr>
              <w:rPr>
                <w:rFonts w:ascii="Open Sans" w:hAnsi="Open Sans" w:cs="Open Sans"/>
              </w:rPr>
            </w:pPr>
            <w:r>
              <w:rPr>
                <w:rFonts w:ascii="Open Sans" w:hAnsi="Open Sans" w:cs="Open Sans"/>
              </w:rPr>
              <w:t>Grant awarded</w:t>
            </w:r>
          </w:p>
          <w:p w14:paraId="61E3CEEC" w14:textId="77777777" w:rsidR="007A7E16" w:rsidRDefault="007A7E16" w:rsidP="00926515">
            <w:pPr>
              <w:rPr>
                <w:rFonts w:ascii="Open Sans" w:hAnsi="Open Sans" w:cs="Open Sans"/>
              </w:rPr>
            </w:pPr>
          </w:p>
        </w:tc>
        <w:tc>
          <w:tcPr>
            <w:tcW w:w="6894" w:type="dxa"/>
          </w:tcPr>
          <w:p w14:paraId="7B862732" w14:textId="5E8763AF" w:rsidR="007A7E16" w:rsidRDefault="007558B8" w:rsidP="00926515">
            <w:pPr>
              <w:rPr>
                <w:rFonts w:ascii="Open Sans" w:hAnsi="Open Sans" w:cs="Open Sans"/>
              </w:rPr>
            </w:pPr>
            <w:r>
              <w:rPr>
                <w:rFonts w:ascii="Open Sans" w:hAnsi="Open Sans" w:cs="Open Sans"/>
              </w:rPr>
              <w:t>£15,000.00</w:t>
            </w:r>
          </w:p>
        </w:tc>
      </w:tr>
      <w:tr w:rsidR="001A4407" w14:paraId="06FB40E9" w14:textId="77777777" w:rsidTr="00B42E2E">
        <w:trPr>
          <w:trHeight w:val="535"/>
        </w:trPr>
        <w:tc>
          <w:tcPr>
            <w:tcW w:w="2122" w:type="dxa"/>
          </w:tcPr>
          <w:p w14:paraId="1BD932E7" w14:textId="77777777" w:rsidR="001A4407" w:rsidRDefault="001A4407" w:rsidP="00926515">
            <w:pPr>
              <w:rPr>
                <w:rFonts w:ascii="Open Sans" w:hAnsi="Open Sans" w:cs="Open Sans"/>
              </w:rPr>
            </w:pPr>
            <w:r>
              <w:rPr>
                <w:rFonts w:ascii="Open Sans" w:hAnsi="Open Sans" w:cs="Open Sans"/>
              </w:rPr>
              <w:t>Year awarded</w:t>
            </w:r>
          </w:p>
        </w:tc>
        <w:tc>
          <w:tcPr>
            <w:tcW w:w="6894" w:type="dxa"/>
          </w:tcPr>
          <w:p w14:paraId="76827CD0" w14:textId="2BAB4240" w:rsidR="001A4407" w:rsidRDefault="007558B8" w:rsidP="00926515">
            <w:pPr>
              <w:rPr>
                <w:rFonts w:ascii="Open Sans" w:hAnsi="Open Sans" w:cs="Open Sans"/>
              </w:rPr>
            </w:pPr>
            <w:r>
              <w:rPr>
                <w:rFonts w:ascii="Open Sans" w:hAnsi="Open Sans" w:cs="Open Sans"/>
              </w:rPr>
              <w:t>2019</w:t>
            </w:r>
          </w:p>
        </w:tc>
      </w:tr>
      <w:tr w:rsidR="00906D65" w14:paraId="63D7150E" w14:textId="77777777" w:rsidTr="00B42E2E">
        <w:trPr>
          <w:trHeight w:val="535"/>
        </w:trPr>
        <w:tc>
          <w:tcPr>
            <w:tcW w:w="2122" w:type="dxa"/>
          </w:tcPr>
          <w:p w14:paraId="6FF5DC2B" w14:textId="77777777" w:rsidR="00906D65" w:rsidRDefault="00906D65" w:rsidP="00926515">
            <w:pPr>
              <w:rPr>
                <w:rFonts w:ascii="Open Sans" w:hAnsi="Open Sans" w:cs="Open Sans"/>
              </w:rPr>
            </w:pPr>
            <w:r>
              <w:rPr>
                <w:rFonts w:ascii="Open Sans" w:hAnsi="Open Sans" w:cs="Open Sans"/>
              </w:rPr>
              <w:t xml:space="preserve">Date </w:t>
            </w:r>
            <w:r w:rsidR="001A4407">
              <w:rPr>
                <w:rFonts w:ascii="Open Sans" w:hAnsi="Open Sans" w:cs="Open Sans"/>
              </w:rPr>
              <w:t>started</w:t>
            </w:r>
          </w:p>
        </w:tc>
        <w:tc>
          <w:tcPr>
            <w:tcW w:w="6894" w:type="dxa"/>
          </w:tcPr>
          <w:p w14:paraId="460C604C" w14:textId="7AD240A0" w:rsidR="00906D65" w:rsidRDefault="007558B8" w:rsidP="00926515">
            <w:pPr>
              <w:rPr>
                <w:rFonts w:ascii="Open Sans" w:hAnsi="Open Sans" w:cs="Open Sans"/>
              </w:rPr>
            </w:pPr>
            <w:r>
              <w:rPr>
                <w:rFonts w:ascii="Open Sans" w:hAnsi="Open Sans" w:cs="Open Sans"/>
              </w:rPr>
              <w:t>1</w:t>
            </w:r>
            <w:r w:rsidRPr="007558B8">
              <w:rPr>
                <w:rFonts w:ascii="Open Sans" w:hAnsi="Open Sans" w:cs="Open Sans"/>
                <w:vertAlign w:val="superscript"/>
              </w:rPr>
              <w:t>st</w:t>
            </w:r>
            <w:r>
              <w:rPr>
                <w:rFonts w:ascii="Open Sans" w:hAnsi="Open Sans" w:cs="Open Sans"/>
              </w:rPr>
              <w:t xml:space="preserve"> March, 2020</w:t>
            </w:r>
          </w:p>
        </w:tc>
      </w:tr>
      <w:tr w:rsidR="001A4407" w14:paraId="10C89024" w14:textId="77777777" w:rsidTr="00B42E2E">
        <w:trPr>
          <w:trHeight w:val="535"/>
        </w:trPr>
        <w:tc>
          <w:tcPr>
            <w:tcW w:w="2122" w:type="dxa"/>
          </w:tcPr>
          <w:p w14:paraId="4D4FA4EF" w14:textId="77777777" w:rsidR="001A4407" w:rsidRDefault="001A4407" w:rsidP="00926515">
            <w:pPr>
              <w:rPr>
                <w:rFonts w:ascii="Open Sans" w:hAnsi="Open Sans" w:cs="Open Sans"/>
              </w:rPr>
            </w:pPr>
            <w:r>
              <w:rPr>
                <w:rFonts w:ascii="Open Sans" w:hAnsi="Open Sans" w:cs="Open Sans"/>
              </w:rPr>
              <w:t>Date completed</w:t>
            </w:r>
          </w:p>
        </w:tc>
        <w:tc>
          <w:tcPr>
            <w:tcW w:w="6894" w:type="dxa"/>
          </w:tcPr>
          <w:p w14:paraId="03773F6B" w14:textId="083BD137" w:rsidR="001A4407" w:rsidRDefault="007558B8" w:rsidP="00926515">
            <w:pPr>
              <w:rPr>
                <w:rFonts w:ascii="Open Sans" w:hAnsi="Open Sans" w:cs="Open Sans"/>
              </w:rPr>
            </w:pPr>
            <w:r>
              <w:rPr>
                <w:rFonts w:ascii="Open Sans" w:hAnsi="Open Sans" w:cs="Open Sans"/>
              </w:rPr>
              <w:t>28</w:t>
            </w:r>
            <w:r w:rsidRPr="007558B8">
              <w:rPr>
                <w:rFonts w:ascii="Open Sans" w:hAnsi="Open Sans" w:cs="Open Sans"/>
                <w:vertAlign w:val="superscript"/>
              </w:rPr>
              <w:t>th</w:t>
            </w:r>
            <w:r>
              <w:rPr>
                <w:rFonts w:ascii="Open Sans" w:hAnsi="Open Sans" w:cs="Open Sans"/>
              </w:rPr>
              <w:t xml:space="preserve"> February, 2022</w:t>
            </w:r>
          </w:p>
        </w:tc>
      </w:tr>
      <w:tr w:rsidR="002C6387" w14:paraId="4B6D4754" w14:textId="77777777" w:rsidTr="00B42E2E">
        <w:trPr>
          <w:trHeight w:val="535"/>
        </w:trPr>
        <w:tc>
          <w:tcPr>
            <w:tcW w:w="2122" w:type="dxa"/>
          </w:tcPr>
          <w:p w14:paraId="794E6541" w14:textId="77777777" w:rsidR="002C6387" w:rsidRDefault="002C6387" w:rsidP="00926515">
            <w:pPr>
              <w:rPr>
                <w:rFonts w:ascii="Open Sans" w:hAnsi="Open Sans" w:cs="Open Sans"/>
              </w:rPr>
            </w:pPr>
            <w:r>
              <w:rPr>
                <w:rFonts w:ascii="Open Sans" w:hAnsi="Open Sans" w:cs="Open Sans"/>
              </w:rPr>
              <w:t>Total amount expended (£)</w:t>
            </w:r>
          </w:p>
        </w:tc>
        <w:tc>
          <w:tcPr>
            <w:tcW w:w="6894" w:type="dxa"/>
          </w:tcPr>
          <w:p w14:paraId="4F8F66F3" w14:textId="05EE743F" w:rsidR="002C6387" w:rsidRDefault="007558B8" w:rsidP="00926515">
            <w:pPr>
              <w:rPr>
                <w:rFonts w:ascii="Open Sans" w:hAnsi="Open Sans" w:cs="Open Sans"/>
              </w:rPr>
            </w:pPr>
            <w:r>
              <w:rPr>
                <w:rFonts w:ascii="Open Sans" w:hAnsi="Open Sans" w:cs="Open Sans"/>
              </w:rPr>
              <w:t>£14,846.05</w:t>
            </w:r>
          </w:p>
        </w:tc>
      </w:tr>
    </w:tbl>
    <w:p w14:paraId="3A562D32" w14:textId="77777777" w:rsidR="00316CBF" w:rsidRDefault="00316CBF" w:rsidP="00926515">
      <w:pPr>
        <w:rPr>
          <w:rFonts w:ascii="Open Sans" w:hAnsi="Open Sans" w:cs="Open Sans"/>
        </w:rPr>
      </w:pPr>
    </w:p>
    <w:p w14:paraId="17109C2D" w14:textId="12FF6593" w:rsidR="002C6387" w:rsidRDefault="002C6387" w:rsidP="002C6387">
      <w:pPr>
        <w:rPr>
          <w:rFonts w:ascii="Open Sans" w:hAnsi="Open Sans" w:cs="Open Sans"/>
        </w:rPr>
      </w:pPr>
      <w:r>
        <w:rPr>
          <w:rFonts w:ascii="Open Sans" w:hAnsi="Open Sans" w:cs="Open Sans"/>
        </w:rPr>
        <w:t xml:space="preserve">This is the BSH grant impact report form. Please enter the full grant details above, and fill out the form below. The form should be completed electronically and sent to </w:t>
      </w:r>
      <w:hyperlink r:id="rId11" w:history="1">
        <w:r w:rsidRPr="00BC049B">
          <w:rPr>
            <w:rStyle w:val="Hyperlink"/>
            <w:rFonts w:ascii="Open Sans" w:hAnsi="Open Sans" w:cs="Open Sans"/>
          </w:rPr>
          <w:t>grants@b-s-h.org.uk</w:t>
        </w:r>
      </w:hyperlink>
      <w:r>
        <w:rPr>
          <w:rFonts w:ascii="Open Sans" w:hAnsi="Open Sans" w:cs="Open Sans"/>
        </w:rPr>
        <w:t xml:space="preserve">. Please note that the report can only be accepted if all sections have been completed in full. </w:t>
      </w:r>
    </w:p>
    <w:p w14:paraId="734428FC" w14:textId="77777777" w:rsidR="002C6387" w:rsidRPr="00CD1696" w:rsidRDefault="002C6387" w:rsidP="002C6387">
      <w:pPr>
        <w:rPr>
          <w:rFonts w:ascii="Open Sans" w:hAnsi="Open Sans" w:cs="Open Sans"/>
        </w:rPr>
      </w:pPr>
      <w:r w:rsidRPr="00CD1696">
        <w:rPr>
          <w:rFonts w:ascii="Open Sans" w:hAnsi="Open Sans" w:cs="Open Sans"/>
          <w:b/>
        </w:rPr>
        <w:t>In addition:</w:t>
      </w:r>
      <w:r w:rsidRPr="00CD1696">
        <w:rPr>
          <w:rFonts w:ascii="Open Sans" w:hAnsi="Open Sans" w:cs="Open Sans"/>
        </w:rPr>
        <w:t xml:space="preserve"> Please include a recent photo of yourself.</w:t>
      </w:r>
    </w:p>
    <w:p w14:paraId="18E5460F" w14:textId="77777777" w:rsidR="002C6387" w:rsidRPr="00CD1696" w:rsidRDefault="002C6387" w:rsidP="002C6387">
      <w:pPr>
        <w:rPr>
          <w:rFonts w:ascii="Open Sans" w:hAnsi="Open Sans" w:cs="Open Sans"/>
        </w:rPr>
      </w:pPr>
      <w:r w:rsidRPr="00CD1696">
        <w:rPr>
          <w:rFonts w:ascii="Open Sans" w:hAnsi="Open Sans" w:cs="Open Sans"/>
        </w:rPr>
        <w:t xml:space="preserve">Your grant report and photo </w:t>
      </w:r>
      <w:r>
        <w:rPr>
          <w:rFonts w:ascii="Open Sans" w:hAnsi="Open Sans" w:cs="Open Sans"/>
        </w:rPr>
        <w:t>may</w:t>
      </w:r>
      <w:r w:rsidRPr="00CD1696">
        <w:rPr>
          <w:rFonts w:ascii="Open Sans" w:hAnsi="Open Sans" w:cs="Open Sans"/>
        </w:rPr>
        <w:t xml:space="preserve"> be published in our communications materials, including our website and social media platforms. </w:t>
      </w:r>
    </w:p>
    <w:p w14:paraId="2EBD6054" w14:textId="77777777" w:rsidR="002C6387" w:rsidRPr="00CD1696" w:rsidRDefault="002C6387" w:rsidP="002C6387">
      <w:pPr>
        <w:rPr>
          <w:rFonts w:ascii="Open Sans" w:hAnsi="Open Sans" w:cs="Open Sans"/>
        </w:rPr>
      </w:pPr>
      <w:r w:rsidRPr="00CD1696">
        <w:rPr>
          <w:rFonts w:ascii="Open Sans" w:hAnsi="Open Sans" w:cs="Open Sans"/>
        </w:rPr>
        <w:t xml:space="preserve">To see previously published grant impact profiles, please visit our </w:t>
      </w:r>
      <w:hyperlink r:id="rId12" w:history="1">
        <w:r w:rsidRPr="00CD1696">
          <w:rPr>
            <w:rStyle w:val="Hyperlink"/>
            <w:rFonts w:ascii="Open Sans" w:hAnsi="Open Sans" w:cs="Open Sans"/>
          </w:rPr>
          <w:t>website.</w:t>
        </w:r>
      </w:hyperlink>
    </w:p>
    <w:p w14:paraId="322536CE" w14:textId="77777777" w:rsidR="00401EFF" w:rsidRDefault="00401EFF">
      <w:pPr>
        <w:rPr>
          <w:rFonts w:ascii="Open Sans" w:eastAsia="Times New Roman" w:hAnsi="Open Sans" w:cs="Open Sans"/>
          <w:b/>
          <w:spacing w:val="-4"/>
          <w:kern w:val="26"/>
        </w:rPr>
      </w:pPr>
      <w:r>
        <w:rPr>
          <w:rFonts w:ascii="Open Sans" w:hAnsi="Open Sans" w:cs="Open Sans"/>
          <w:b/>
          <w:spacing w:val="-4"/>
        </w:rPr>
        <w:br w:type="page"/>
      </w:r>
    </w:p>
    <w:tbl>
      <w:tblPr>
        <w:tblStyle w:val="TableGrid"/>
        <w:tblW w:w="0" w:type="auto"/>
        <w:tblLook w:val="04A0" w:firstRow="1" w:lastRow="0" w:firstColumn="1" w:lastColumn="0" w:noHBand="0" w:noVBand="1"/>
      </w:tblPr>
      <w:tblGrid>
        <w:gridCol w:w="9016"/>
      </w:tblGrid>
      <w:tr w:rsidR="004B4434" w14:paraId="6ACFA2EC" w14:textId="77777777" w:rsidTr="009F17E1">
        <w:trPr>
          <w:cantSplit/>
        </w:trPr>
        <w:tc>
          <w:tcPr>
            <w:tcW w:w="9016" w:type="dxa"/>
          </w:tcPr>
          <w:p w14:paraId="7C145CDE" w14:textId="77777777" w:rsidR="004B4434" w:rsidRDefault="004B4434" w:rsidP="009F2942">
            <w:pPr>
              <w:pStyle w:val="05Text"/>
              <w:numPr>
                <w:ilvl w:val="0"/>
                <w:numId w:val="2"/>
              </w:numPr>
              <w:spacing w:after="120"/>
              <w:ind w:left="886" w:hanging="526"/>
              <w:rPr>
                <w:rFonts w:ascii="Open Sans" w:hAnsi="Open Sans" w:cs="Open Sans"/>
                <w:b/>
                <w:spacing w:val="-4"/>
                <w:sz w:val="22"/>
              </w:rPr>
            </w:pPr>
            <w:bookmarkStart w:id="0" w:name="_Hlk503361358"/>
            <w:r>
              <w:rPr>
                <w:rFonts w:ascii="Open Sans" w:hAnsi="Open Sans" w:cs="Open Sans"/>
                <w:b/>
                <w:spacing w:val="-4"/>
                <w:sz w:val="22"/>
              </w:rPr>
              <w:lastRenderedPageBreak/>
              <w:t>Please summarise what the grant enabled you to achiev</w:t>
            </w:r>
            <w:bookmarkEnd w:id="0"/>
            <w:r w:rsidR="00107526">
              <w:rPr>
                <w:rFonts w:ascii="Open Sans" w:hAnsi="Open Sans" w:cs="Open Sans"/>
                <w:b/>
                <w:spacing w:val="-4"/>
                <w:sz w:val="22"/>
              </w:rPr>
              <w:t xml:space="preserve">e; </w:t>
            </w:r>
            <w:bookmarkStart w:id="1" w:name="_Hlk503437184"/>
            <w:r w:rsidR="00107526">
              <w:rPr>
                <w:rFonts w:ascii="Open Sans" w:hAnsi="Open Sans" w:cs="Open Sans"/>
                <w:b/>
                <w:spacing w:val="-4"/>
                <w:sz w:val="22"/>
              </w:rPr>
              <w:t>what would not have been possible without the funding?</w:t>
            </w:r>
            <w:r>
              <w:rPr>
                <w:rFonts w:ascii="Open Sans" w:hAnsi="Open Sans" w:cs="Open Sans"/>
                <w:b/>
                <w:spacing w:val="-4"/>
                <w:sz w:val="22"/>
              </w:rPr>
              <w:t xml:space="preserve"> </w:t>
            </w:r>
            <w:bookmarkEnd w:id="1"/>
            <w:r>
              <w:rPr>
                <w:rFonts w:ascii="Open Sans" w:hAnsi="Open Sans" w:cs="Open Sans"/>
                <w:b/>
                <w:spacing w:val="-4"/>
                <w:sz w:val="22"/>
              </w:rPr>
              <w:t>(</w:t>
            </w:r>
            <w:r w:rsidR="00C50F23">
              <w:rPr>
                <w:rFonts w:ascii="Open Sans" w:hAnsi="Open Sans" w:cs="Open Sans"/>
                <w:b/>
                <w:spacing w:val="-4"/>
                <w:sz w:val="22"/>
              </w:rPr>
              <w:t>Up to</w:t>
            </w:r>
            <w:r>
              <w:rPr>
                <w:rFonts w:ascii="Open Sans" w:hAnsi="Open Sans" w:cs="Open Sans"/>
                <w:b/>
                <w:spacing w:val="-4"/>
                <w:sz w:val="22"/>
              </w:rPr>
              <w:t xml:space="preserve"> 500 words)</w:t>
            </w:r>
          </w:p>
          <w:p w14:paraId="57A6ACBA" w14:textId="148D713D" w:rsidR="00D31B70" w:rsidRDefault="00477763" w:rsidP="009F17E1">
            <w:pPr>
              <w:pStyle w:val="05Text"/>
              <w:spacing w:after="120"/>
              <w:rPr>
                <w:rFonts w:ascii="Open Sans" w:hAnsi="Open Sans" w:cs="Open Sans"/>
                <w:spacing w:val="-4"/>
                <w:sz w:val="22"/>
              </w:rPr>
            </w:pPr>
            <w:r>
              <w:rPr>
                <w:rFonts w:ascii="Open Sans" w:hAnsi="Open Sans" w:cs="Open Sans"/>
                <w:spacing w:val="-4"/>
                <w:sz w:val="22"/>
              </w:rPr>
              <w:t xml:space="preserve">The funding received was critical for my installation as a new Lecturer </w:t>
            </w:r>
            <w:r w:rsidR="0025776D">
              <w:rPr>
                <w:rFonts w:ascii="Open Sans" w:hAnsi="Open Sans" w:cs="Open Sans"/>
                <w:spacing w:val="-4"/>
                <w:sz w:val="22"/>
              </w:rPr>
              <w:t xml:space="preserve">in Biomedical Sciences </w:t>
            </w:r>
            <w:r>
              <w:rPr>
                <w:rFonts w:ascii="Open Sans" w:hAnsi="Open Sans" w:cs="Open Sans"/>
                <w:spacing w:val="-4"/>
                <w:sz w:val="22"/>
              </w:rPr>
              <w:t>at Brunel University London</w:t>
            </w:r>
            <w:r w:rsidR="0025776D">
              <w:rPr>
                <w:rFonts w:ascii="Open Sans" w:hAnsi="Open Sans" w:cs="Open Sans"/>
                <w:spacing w:val="-4"/>
                <w:sz w:val="22"/>
              </w:rPr>
              <w:t>, College of Health, Medicine and Life Sciences</w:t>
            </w:r>
            <w:r>
              <w:rPr>
                <w:rFonts w:ascii="Open Sans" w:hAnsi="Open Sans" w:cs="Open Sans"/>
                <w:spacing w:val="-4"/>
                <w:sz w:val="22"/>
              </w:rPr>
              <w:t>. It bridged my previous Fellowship work at the University of Cambridge into my first established Academic position, and allowed me to recruit a talented MPhil (Res) student</w:t>
            </w:r>
            <w:r w:rsidR="00D81B58">
              <w:rPr>
                <w:rFonts w:ascii="Open Sans" w:hAnsi="Open Sans" w:cs="Open Sans"/>
                <w:spacing w:val="-4"/>
                <w:sz w:val="22"/>
              </w:rPr>
              <w:t>, Ralph Samarista,</w:t>
            </w:r>
            <w:r>
              <w:rPr>
                <w:rFonts w:ascii="Open Sans" w:hAnsi="Open Sans" w:cs="Open Sans"/>
                <w:spacing w:val="-4"/>
                <w:sz w:val="22"/>
              </w:rPr>
              <w:t xml:space="preserve"> to undertake the laboratory work while I got settled in the combined teaching, research, and administrative commitments of my new post. This </w:t>
            </w:r>
            <w:r w:rsidR="00D31B70">
              <w:rPr>
                <w:rFonts w:ascii="Open Sans" w:hAnsi="Open Sans" w:cs="Open Sans"/>
                <w:spacing w:val="-4"/>
                <w:sz w:val="22"/>
              </w:rPr>
              <w:t>student</w:t>
            </w:r>
            <w:r w:rsidR="0025776D">
              <w:rPr>
                <w:rFonts w:ascii="Open Sans" w:hAnsi="Open Sans" w:cs="Open Sans"/>
                <w:spacing w:val="-4"/>
                <w:sz w:val="22"/>
              </w:rPr>
              <w:t>’s</w:t>
            </w:r>
            <w:r w:rsidR="00D31B70">
              <w:rPr>
                <w:rFonts w:ascii="Open Sans" w:hAnsi="Open Sans" w:cs="Open Sans"/>
                <w:spacing w:val="-4"/>
                <w:sz w:val="22"/>
              </w:rPr>
              <w:t xml:space="preserve"> recruitment </w:t>
            </w:r>
            <w:r>
              <w:rPr>
                <w:rFonts w:ascii="Open Sans" w:hAnsi="Open Sans" w:cs="Open Sans"/>
                <w:spacing w:val="-4"/>
                <w:sz w:val="22"/>
              </w:rPr>
              <w:t xml:space="preserve">was particularly critical during the CoVID-19 Pandemic, which </w:t>
            </w:r>
            <w:r w:rsidR="00D31B70">
              <w:rPr>
                <w:rFonts w:ascii="Open Sans" w:hAnsi="Open Sans" w:cs="Open Sans"/>
                <w:spacing w:val="-4"/>
                <w:sz w:val="22"/>
              </w:rPr>
              <w:t>placed strong onus on teaching responsibilities with adaptation to remote, and later hybrid teaching, as well as extensive undergraduate student support. Furthermore, charity-based funding opportunities which have historically supported work in the Haematology and Leukaemia fields were significantly reduced and, in many cases suspended, during the last 2 years, and BSH funding was critical to sustain my research activity.</w:t>
            </w:r>
          </w:p>
          <w:p w14:paraId="0609D994" w14:textId="540B6583" w:rsidR="00D31B70" w:rsidRDefault="00D31B70" w:rsidP="009F17E1">
            <w:pPr>
              <w:pStyle w:val="05Text"/>
              <w:spacing w:after="120"/>
              <w:rPr>
                <w:rFonts w:ascii="Open Sans" w:hAnsi="Open Sans" w:cs="Open Sans"/>
                <w:spacing w:val="-4"/>
                <w:sz w:val="22"/>
              </w:rPr>
            </w:pPr>
            <w:r>
              <w:rPr>
                <w:rFonts w:ascii="Open Sans" w:hAnsi="Open Sans" w:cs="Open Sans"/>
                <w:spacing w:val="-4"/>
                <w:sz w:val="22"/>
              </w:rPr>
              <w:t>At an institutional level, my early establishment as an externally-funded researcher</w:t>
            </w:r>
            <w:r w:rsidR="0025776D">
              <w:rPr>
                <w:rFonts w:ascii="Open Sans" w:hAnsi="Open Sans" w:cs="Open Sans"/>
                <w:spacing w:val="-4"/>
                <w:sz w:val="22"/>
              </w:rPr>
              <w:t xml:space="preserve"> in the leukaemia field, supported my nomination as the Cancer Cluster Lead in the newly-established Centre for Genome Engineering and Maintenance. It prompted College-Level financial commitment towards the upgrading of the existing </w:t>
            </w:r>
            <w:proofErr w:type="spellStart"/>
            <w:r w:rsidR="00D81B58">
              <w:rPr>
                <w:rFonts w:ascii="Open Sans" w:hAnsi="Open Sans" w:cs="Open Sans"/>
                <w:spacing w:val="-4"/>
                <w:sz w:val="22"/>
              </w:rPr>
              <w:t>Novocyte</w:t>
            </w:r>
            <w:proofErr w:type="spellEnd"/>
            <w:r w:rsidR="00D81B58">
              <w:rPr>
                <w:rFonts w:ascii="Open Sans" w:hAnsi="Open Sans" w:cs="Open Sans"/>
                <w:spacing w:val="-4"/>
                <w:sz w:val="22"/>
              </w:rPr>
              <w:t xml:space="preserve"> flow cytometer analyser from 5 to 15 channels to enable my research. More recently, my sustained research activity proved critical to a successful College matched-funded application to the Wolfson Foundation for acquisition of a cell sorter.</w:t>
            </w:r>
          </w:p>
          <w:p w14:paraId="7BFB17DE" w14:textId="0431D6A0" w:rsidR="009F17E1" w:rsidRPr="00401EFF" w:rsidRDefault="00D81B58" w:rsidP="00096FB1">
            <w:pPr>
              <w:pStyle w:val="05Text"/>
              <w:spacing w:after="120"/>
              <w:rPr>
                <w:rFonts w:ascii="Open Sans" w:hAnsi="Open Sans" w:cs="Open Sans"/>
                <w:b/>
                <w:spacing w:val="-4"/>
                <w:sz w:val="22"/>
              </w:rPr>
            </w:pPr>
            <w:r>
              <w:rPr>
                <w:rFonts w:ascii="Open Sans" w:hAnsi="Open Sans" w:cs="Open Sans"/>
                <w:spacing w:val="-4"/>
                <w:sz w:val="22"/>
              </w:rPr>
              <w:t xml:space="preserve">Scientifically, the funding </w:t>
            </w:r>
            <w:r w:rsidR="00477763">
              <w:rPr>
                <w:rFonts w:ascii="Open Sans" w:hAnsi="Open Sans" w:cs="Open Sans"/>
                <w:spacing w:val="-4"/>
                <w:sz w:val="22"/>
              </w:rPr>
              <w:t xml:space="preserve">allowed me to analyse individual and combined contributions of epigenetic methylations and the unfolded protein response (UPR) in Acute Myeloid Leukaemia, and to explore the therapeutic potential of combined DNA demethylating agents and UPR modulators. I had previously identified these two pathways as </w:t>
            </w:r>
            <w:r>
              <w:rPr>
                <w:rFonts w:ascii="Open Sans" w:hAnsi="Open Sans" w:cs="Open Sans"/>
                <w:spacing w:val="-4"/>
                <w:sz w:val="22"/>
              </w:rPr>
              <w:t>the main candidate mediators of AML dependency on</w:t>
            </w:r>
            <w:r w:rsidR="003316D0">
              <w:rPr>
                <w:rFonts w:ascii="Open Sans" w:hAnsi="Open Sans" w:cs="Open Sans"/>
                <w:spacing w:val="-4"/>
                <w:sz w:val="22"/>
              </w:rPr>
              <w:t xml:space="preserve"> the MAT2A enzyme, which catalyses the synthesis of S-adenosyl-methionine, the main methyl donor in the cell. I have now shown that combined targeting of DNA methylation and activation of the pro-apoptotic arm of the UPR can cooperate in eliminating AML cells </w:t>
            </w:r>
            <w:r w:rsidR="00096FB1">
              <w:rPr>
                <w:rFonts w:ascii="Open Sans" w:hAnsi="Open Sans" w:cs="Open Sans"/>
                <w:spacing w:val="-4"/>
                <w:sz w:val="22"/>
              </w:rPr>
              <w:t xml:space="preserve">from different genetic backgrounds, both cultured AML cell lines and patient samples. I will now aim to extend these results </w:t>
            </w:r>
            <w:r w:rsidR="00096FB1" w:rsidRPr="00096FB1">
              <w:rPr>
                <w:rFonts w:ascii="Open Sans" w:hAnsi="Open Sans" w:cs="Open Sans"/>
                <w:i/>
                <w:spacing w:val="-4"/>
                <w:sz w:val="22"/>
              </w:rPr>
              <w:t>in vivo</w:t>
            </w:r>
            <w:r w:rsidR="00096FB1">
              <w:rPr>
                <w:rFonts w:ascii="Open Sans" w:hAnsi="Open Sans" w:cs="Open Sans"/>
                <w:spacing w:val="-4"/>
                <w:sz w:val="22"/>
              </w:rPr>
              <w:t xml:space="preserve"> to confirm their translational therapeutic potential.</w:t>
            </w:r>
          </w:p>
        </w:tc>
      </w:tr>
      <w:tr w:rsidR="00401EFF" w14:paraId="1209103D" w14:textId="77777777" w:rsidTr="009F17E1">
        <w:trPr>
          <w:cantSplit/>
        </w:trPr>
        <w:tc>
          <w:tcPr>
            <w:tcW w:w="9016" w:type="dxa"/>
          </w:tcPr>
          <w:p w14:paraId="58B450D4" w14:textId="4639C7C4" w:rsidR="00401EFF" w:rsidRPr="002C6387" w:rsidRDefault="00401EFF" w:rsidP="009F2942">
            <w:pPr>
              <w:pStyle w:val="05Text"/>
              <w:numPr>
                <w:ilvl w:val="0"/>
                <w:numId w:val="2"/>
              </w:numPr>
              <w:spacing w:after="120"/>
              <w:ind w:left="886" w:hanging="526"/>
              <w:rPr>
                <w:rFonts w:ascii="Open Sans" w:hAnsi="Open Sans" w:cs="Open Sans"/>
                <w:b/>
                <w:spacing w:val="-4"/>
                <w:sz w:val="22"/>
              </w:rPr>
            </w:pPr>
            <w:r w:rsidRPr="00401EFF">
              <w:rPr>
                <w:rFonts w:ascii="Open Sans" w:hAnsi="Open Sans" w:cs="Open Sans"/>
                <w:b/>
                <w:spacing w:val="-4"/>
                <w:sz w:val="22"/>
              </w:rPr>
              <w:lastRenderedPageBreak/>
              <w:t xml:space="preserve">Briefly describe the aims and </w:t>
            </w:r>
            <w:r w:rsidR="0066709F">
              <w:rPr>
                <w:rFonts w:ascii="Open Sans" w:hAnsi="Open Sans" w:cs="Open Sans"/>
                <w:b/>
                <w:spacing w:val="-4"/>
                <w:sz w:val="22"/>
              </w:rPr>
              <w:t xml:space="preserve">intended </w:t>
            </w:r>
            <w:r w:rsidRPr="00401EFF">
              <w:rPr>
                <w:rFonts w:ascii="Open Sans" w:hAnsi="Open Sans" w:cs="Open Sans"/>
                <w:b/>
                <w:spacing w:val="-4"/>
                <w:sz w:val="22"/>
              </w:rPr>
              <w:t>outcomes of this project. Please clearly indicate if there is any sensitive information in this report that should remain confidential for now.</w:t>
            </w:r>
            <w:r>
              <w:rPr>
                <w:rFonts w:ascii="Open Sans" w:hAnsi="Open Sans" w:cs="Open Sans"/>
                <w:b/>
                <w:spacing w:val="-4"/>
                <w:sz w:val="22"/>
              </w:rPr>
              <w:t xml:space="preserve"> (</w:t>
            </w:r>
            <w:r w:rsidR="00C50F23">
              <w:rPr>
                <w:rFonts w:ascii="Open Sans" w:hAnsi="Open Sans" w:cs="Open Sans"/>
                <w:b/>
                <w:spacing w:val="-4"/>
                <w:sz w:val="22"/>
              </w:rPr>
              <w:t>Up to</w:t>
            </w:r>
            <w:r>
              <w:rPr>
                <w:rFonts w:ascii="Open Sans" w:hAnsi="Open Sans" w:cs="Open Sans"/>
                <w:b/>
                <w:spacing w:val="-4"/>
                <w:sz w:val="22"/>
              </w:rPr>
              <w:t xml:space="preserve"> 300 words)</w:t>
            </w:r>
          </w:p>
          <w:p w14:paraId="349E091C" w14:textId="29AE8D40" w:rsidR="00401EFF" w:rsidRDefault="00096FB1" w:rsidP="009F2942">
            <w:pPr>
              <w:pStyle w:val="05Text"/>
              <w:spacing w:after="120"/>
              <w:ind w:left="886" w:hanging="526"/>
              <w:rPr>
                <w:rFonts w:ascii="Open Sans" w:hAnsi="Open Sans" w:cs="Open Sans"/>
                <w:spacing w:val="-4"/>
                <w:sz w:val="22"/>
              </w:rPr>
            </w:pPr>
            <w:r>
              <w:rPr>
                <w:rFonts w:ascii="Open Sans" w:hAnsi="Open Sans" w:cs="Open Sans"/>
                <w:spacing w:val="-4"/>
                <w:sz w:val="22"/>
              </w:rPr>
              <w:t>The project ha</w:t>
            </w:r>
            <w:r w:rsidR="00433FBC">
              <w:rPr>
                <w:rFonts w:ascii="Open Sans" w:hAnsi="Open Sans" w:cs="Open Sans"/>
                <w:spacing w:val="-4"/>
                <w:sz w:val="22"/>
              </w:rPr>
              <w:t>s</w:t>
            </w:r>
            <w:r>
              <w:rPr>
                <w:rFonts w:ascii="Open Sans" w:hAnsi="Open Sans" w:cs="Open Sans"/>
                <w:spacing w:val="-4"/>
                <w:sz w:val="22"/>
              </w:rPr>
              <w:t xml:space="preserve"> 2 main aims:</w:t>
            </w:r>
          </w:p>
          <w:p w14:paraId="7D5D1848" w14:textId="33BE2376" w:rsidR="00096FB1" w:rsidRDefault="00096FB1" w:rsidP="00096FB1">
            <w:pPr>
              <w:pStyle w:val="05Text"/>
              <w:spacing w:after="120"/>
              <w:ind w:left="886" w:hanging="526"/>
              <w:rPr>
                <w:rFonts w:ascii="Open Sans" w:hAnsi="Open Sans" w:cs="Open Sans"/>
                <w:spacing w:val="-4"/>
                <w:sz w:val="22"/>
              </w:rPr>
            </w:pPr>
            <w:r>
              <w:rPr>
                <w:rFonts w:ascii="Open Sans" w:hAnsi="Open Sans" w:cs="Open Sans"/>
                <w:spacing w:val="-4"/>
                <w:sz w:val="22"/>
              </w:rPr>
              <w:t>1.</w:t>
            </w:r>
            <w:r>
              <w:t xml:space="preserve"> </w:t>
            </w:r>
            <w:r w:rsidRPr="00096FB1">
              <w:rPr>
                <w:rFonts w:ascii="Open Sans" w:hAnsi="Open Sans" w:cs="Open Sans"/>
                <w:spacing w:val="-4"/>
                <w:sz w:val="22"/>
              </w:rPr>
              <w:t>To test additive and synergistic effects of DNA demethylation and loss of</w:t>
            </w:r>
            <w:r w:rsidR="00433FBC">
              <w:rPr>
                <w:rFonts w:ascii="Open Sans" w:hAnsi="Open Sans" w:cs="Open Sans"/>
                <w:spacing w:val="-4"/>
                <w:sz w:val="22"/>
              </w:rPr>
              <w:t xml:space="preserve"> </w:t>
            </w:r>
            <w:r w:rsidRPr="00096FB1">
              <w:rPr>
                <w:rFonts w:ascii="Open Sans" w:hAnsi="Open Sans" w:cs="Open Sans"/>
                <w:spacing w:val="-4"/>
                <w:sz w:val="22"/>
              </w:rPr>
              <w:t>H3K36me3 in AML cells</w:t>
            </w:r>
          </w:p>
          <w:p w14:paraId="24AC104A" w14:textId="66E47CDF" w:rsidR="00433FBC" w:rsidRDefault="00096FB1" w:rsidP="00814C12">
            <w:pPr>
              <w:pStyle w:val="05Text"/>
              <w:spacing w:after="120"/>
              <w:ind w:left="886" w:hanging="526"/>
              <w:rPr>
                <w:rFonts w:ascii="Open Sans" w:hAnsi="Open Sans" w:cs="Open Sans"/>
                <w:spacing w:val="-4"/>
                <w:sz w:val="22"/>
              </w:rPr>
            </w:pPr>
            <w:r>
              <w:rPr>
                <w:rFonts w:ascii="Open Sans" w:hAnsi="Open Sans" w:cs="Open Sans"/>
                <w:spacing w:val="-4"/>
                <w:sz w:val="22"/>
              </w:rPr>
              <w:t>2.</w:t>
            </w:r>
            <w:r w:rsidR="00433FBC">
              <w:rPr>
                <w:rFonts w:ascii="Open Sans" w:hAnsi="Open Sans" w:cs="Open Sans"/>
                <w:spacing w:val="-4"/>
                <w:sz w:val="22"/>
              </w:rPr>
              <w:t xml:space="preserve"> </w:t>
            </w:r>
            <w:r w:rsidR="00433FBC" w:rsidRPr="00433FBC">
              <w:rPr>
                <w:rFonts w:ascii="Open Sans" w:hAnsi="Open Sans" w:cs="Open Sans"/>
                <w:spacing w:val="-4"/>
                <w:sz w:val="22"/>
              </w:rPr>
              <w:t>To combine DNA demethylating agents with activation of unfolded protein response chaperones in eliminating AML cells</w:t>
            </w:r>
          </w:p>
          <w:p w14:paraId="715DCE54" w14:textId="30C59EF7" w:rsidR="00D508A9" w:rsidRDefault="00433FBC" w:rsidP="00D508A9">
            <w:pPr>
              <w:pStyle w:val="05Text"/>
              <w:spacing w:after="120"/>
              <w:ind w:left="316"/>
              <w:rPr>
                <w:rFonts w:ascii="Open Sans" w:hAnsi="Open Sans" w:cs="Open Sans"/>
                <w:spacing w:val="-4"/>
                <w:sz w:val="22"/>
              </w:rPr>
            </w:pPr>
            <w:r>
              <w:rPr>
                <w:rFonts w:ascii="Open Sans" w:hAnsi="Open Sans" w:cs="Open Sans"/>
                <w:spacing w:val="-4"/>
                <w:sz w:val="22"/>
              </w:rPr>
              <w:t>The intended outcomes are the development of new targeted combinatorial therapies to enhance survival of AML patients currently treated with DNA demethylating age</w:t>
            </w:r>
            <w:r w:rsidR="00814C12">
              <w:rPr>
                <w:rFonts w:ascii="Open Sans" w:hAnsi="Open Sans" w:cs="Open Sans"/>
                <w:spacing w:val="-4"/>
                <w:sz w:val="22"/>
              </w:rPr>
              <w:t>nts. These are typically elderly patients who cannot tolerate conventional chemotherapy ± bone marrow transplantation regimens, and who inevitably relapse with dismal survival.</w:t>
            </w:r>
          </w:p>
          <w:p w14:paraId="287032CA" w14:textId="541F3441" w:rsidR="00D508A9" w:rsidRDefault="00D508A9" w:rsidP="00D508A9">
            <w:pPr>
              <w:pStyle w:val="05Text"/>
              <w:spacing w:after="120"/>
              <w:ind w:left="316"/>
              <w:rPr>
                <w:rFonts w:ascii="Open Sans" w:hAnsi="Open Sans" w:cs="Open Sans"/>
                <w:spacing w:val="-4"/>
                <w:sz w:val="22"/>
              </w:rPr>
            </w:pPr>
            <w:r>
              <w:rPr>
                <w:rFonts w:ascii="Open Sans" w:hAnsi="Open Sans" w:cs="Open Sans"/>
                <w:spacing w:val="-4"/>
                <w:sz w:val="22"/>
              </w:rPr>
              <w:t>We (</w:t>
            </w:r>
            <w:proofErr w:type="spellStart"/>
            <w:r>
              <w:rPr>
                <w:rFonts w:ascii="Open Sans" w:hAnsi="Open Sans" w:cs="Open Sans"/>
                <w:spacing w:val="-4"/>
                <w:sz w:val="22"/>
              </w:rPr>
              <w:t>Tzelepis</w:t>
            </w:r>
            <w:proofErr w:type="spellEnd"/>
            <w:r>
              <w:rPr>
                <w:rFonts w:ascii="Open Sans" w:hAnsi="Open Sans" w:cs="Open Sans"/>
                <w:spacing w:val="-4"/>
                <w:sz w:val="22"/>
              </w:rPr>
              <w:t xml:space="preserve"> et al </w:t>
            </w:r>
            <w:r>
              <w:rPr>
                <w:rFonts w:ascii="Open Sans" w:hAnsi="Open Sans" w:cs="Open Sans"/>
                <w:i/>
                <w:spacing w:val="-4"/>
                <w:sz w:val="22"/>
              </w:rPr>
              <w:t xml:space="preserve">Cell Rep </w:t>
            </w:r>
            <w:r>
              <w:rPr>
                <w:rFonts w:ascii="Open Sans" w:hAnsi="Open Sans" w:cs="Open Sans"/>
                <w:spacing w:val="-4"/>
                <w:sz w:val="22"/>
              </w:rPr>
              <w:t>2016</w:t>
            </w:r>
            <w:r w:rsidR="00527C63">
              <w:rPr>
                <w:rFonts w:ascii="Open Sans" w:hAnsi="Open Sans" w:cs="Open Sans"/>
                <w:spacing w:val="-4"/>
                <w:sz w:val="22"/>
              </w:rPr>
              <w:t xml:space="preserve">, </w:t>
            </w:r>
            <w:r w:rsidR="00527C63" w:rsidRPr="00527C63">
              <w:rPr>
                <w:rFonts w:ascii="Open Sans" w:hAnsi="Open Sans" w:cs="Open Sans"/>
                <w:spacing w:val="-4"/>
                <w:sz w:val="22"/>
              </w:rPr>
              <w:t>10.1016/j.celrep.2016.09.079</w:t>
            </w:r>
            <w:r w:rsidR="00527C63">
              <w:rPr>
                <w:rFonts w:ascii="Open Sans" w:hAnsi="Open Sans" w:cs="Open Sans"/>
                <w:spacing w:val="-4"/>
                <w:sz w:val="22"/>
              </w:rPr>
              <w:t xml:space="preserve">) </w:t>
            </w:r>
            <w:r>
              <w:rPr>
                <w:rFonts w:ascii="Open Sans" w:hAnsi="Open Sans" w:cs="Open Sans"/>
                <w:spacing w:val="-4"/>
                <w:sz w:val="22"/>
              </w:rPr>
              <w:t>and others (</w:t>
            </w:r>
            <w:r w:rsidR="00527C63">
              <w:rPr>
                <w:rFonts w:ascii="Open Sans" w:hAnsi="Open Sans" w:cs="Open Sans"/>
                <w:spacing w:val="-4"/>
                <w:sz w:val="22"/>
              </w:rPr>
              <w:t xml:space="preserve">Secker et al </w:t>
            </w:r>
            <w:r w:rsidR="00527C63">
              <w:rPr>
                <w:rFonts w:ascii="Open Sans" w:hAnsi="Open Sans" w:cs="Open Sans"/>
                <w:i/>
                <w:spacing w:val="-4"/>
                <w:sz w:val="22"/>
              </w:rPr>
              <w:t>Cancers</w:t>
            </w:r>
            <w:r w:rsidR="00527C63">
              <w:rPr>
                <w:rFonts w:ascii="Open Sans" w:hAnsi="Open Sans" w:cs="Open Sans"/>
                <w:spacing w:val="-4"/>
                <w:sz w:val="22"/>
              </w:rPr>
              <w:t xml:space="preserve"> 2020, </w:t>
            </w:r>
            <w:r w:rsidR="00527C63" w:rsidRPr="00527C63">
              <w:rPr>
                <w:rFonts w:ascii="Open Sans" w:hAnsi="Open Sans" w:cs="Open Sans"/>
                <w:spacing w:val="-4"/>
                <w:sz w:val="22"/>
              </w:rPr>
              <w:t>10.3390/cancers12051342</w:t>
            </w:r>
            <w:r>
              <w:rPr>
                <w:rFonts w:ascii="Open Sans" w:hAnsi="Open Sans" w:cs="Open Sans"/>
                <w:spacing w:val="-4"/>
                <w:sz w:val="22"/>
              </w:rPr>
              <w:t>) ha</w:t>
            </w:r>
            <w:r w:rsidR="00527C63">
              <w:rPr>
                <w:rFonts w:ascii="Open Sans" w:hAnsi="Open Sans" w:cs="Open Sans"/>
                <w:spacing w:val="-4"/>
                <w:sz w:val="22"/>
              </w:rPr>
              <w:t>ve</w:t>
            </w:r>
            <w:r>
              <w:rPr>
                <w:rFonts w:ascii="Open Sans" w:hAnsi="Open Sans" w:cs="Open Sans"/>
                <w:spacing w:val="-4"/>
                <w:sz w:val="22"/>
              </w:rPr>
              <w:t xml:space="preserve"> previously identified a vulnerability of AML cells to loss or inhibition of MAT2A (preliminary data for this proposal), the enzyme responsible for synthesis of S-adenosyl-methionine, the main methyl-group donor in the cell. </w:t>
            </w:r>
            <w:r w:rsidR="00527C63">
              <w:rPr>
                <w:rFonts w:ascii="Open Sans" w:hAnsi="Open Sans" w:cs="Open Sans"/>
                <w:spacing w:val="-4"/>
                <w:sz w:val="22"/>
              </w:rPr>
              <w:t>We</w:t>
            </w:r>
            <w:r>
              <w:rPr>
                <w:rFonts w:ascii="Open Sans" w:hAnsi="Open Sans" w:cs="Open Sans"/>
                <w:spacing w:val="-4"/>
                <w:sz w:val="22"/>
              </w:rPr>
              <w:t xml:space="preserve"> </w:t>
            </w:r>
            <w:r w:rsidR="00527C63">
              <w:rPr>
                <w:rFonts w:ascii="Open Sans" w:hAnsi="Open Sans" w:cs="Open Sans"/>
                <w:spacing w:val="-4"/>
                <w:sz w:val="22"/>
              </w:rPr>
              <w:t>observed</w:t>
            </w:r>
            <w:r>
              <w:rPr>
                <w:rFonts w:ascii="Open Sans" w:hAnsi="Open Sans" w:cs="Open Sans"/>
                <w:spacing w:val="-4"/>
                <w:sz w:val="22"/>
              </w:rPr>
              <w:t xml:space="preserve"> that MAT2A resulted in loss of DNA methylation, </w:t>
            </w:r>
            <w:r w:rsidR="00527C63">
              <w:rPr>
                <w:rFonts w:ascii="Open Sans" w:hAnsi="Open Sans" w:cs="Open Sans"/>
                <w:spacing w:val="-4"/>
                <w:sz w:val="22"/>
              </w:rPr>
              <w:t>unique</w:t>
            </w:r>
            <w:r>
              <w:rPr>
                <w:rFonts w:ascii="Open Sans" w:hAnsi="Open Sans" w:cs="Open Sans"/>
                <w:spacing w:val="-4"/>
                <w:sz w:val="22"/>
              </w:rPr>
              <w:t xml:space="preserve"> loss of H</w:t>
            </w:r>
            <w:r w:rsidR="00527C63">
              <w:rPr>
                <w:rFonts w:ascii="Open Sans" w:hAnsi="Open Sans" w:cs="Open Sans"/>
                <w:spacing w:val="-4"/>
                <w:sz w:val="22"/>
              </w:rPr>
              <w:t xml:space="preserve">istone </w:t>
            </w:r>
            <w:r>
              <w:rPr>
                <w:rFonts w:ascii="Open Sans" w:hAnsi="Open Sans" w:cs="Open Sans"/>
                <w:spacing w:val="-4"/>
                <w:sz w:val="22"/>
              </w:rPr>
              <w:t>3</w:t>
            </w:r>
            <w:r w:rsidR="00527C63">
              <w:rPr>
                <w:rFonts w:ascii="Open Sans" w:hAnsi="Open Sans" w:cs="Open Sans"/>
                <w:spacing w:val="-4"/>
                <w:sz w:val="22"/>
              </w:rPr>
              <w:t xml:space="preserve"> </w:t>
            </w:r>
            <w:r>
              <w:rPr>
                <w:rFonts w:ascii="Open Sans" w:hAnsi="Open Sans" w:cs="Open Sans"/>
                <w:spacing w:val="-4"/>
                <w:sz w:val="22"/>
              </w:rPr>
              <w:t>K36 tri-methylation, and molecular activation of the unfolded protein response</w:t>
            </w:r>
            <w:r w:rsidR="00527C63">
              <w:rPr>
                <w:rFonts w:ascii="Open Sans" w:hAnsi="Open Sans" w:cs="Open Sans"/>
                <w:spacing w:val="-4"/>
                <w:sz w:val="22"/>
              </w:rPr>
              <w:t>, and sought to explore combinatorial and/or synergistic effects of these pathways in AML.</w:t>
            </w:r>
          </w:p>
          <w:p w14:paraId="59F67F79" w14:textId="3B3F316C" w:rsidR="00814C12" w:rsidRDefault="00814C12" w:rsidP="00433FBC">
            <w:pPr>
              <w:pStyle w:val="05Text"/>
              <w:spacing w:after="120"/>
              <w:ind w:left="316"/>
              <w:rPr>
                <w:rFonts w:ascii="Open Sans" w:hAnsi="Open Sans" w:cs="Open Sans"/>
                <w:spacing w:val="-4"/>
                <w:sz w:val="22"/>
              </w:rPr>
            </w:pPr>
            <w:r>
              <w:rPr>
                <w:rFonts w:ascii="Open Sans" w:hAnsi="Open Sans" w:cs="Open Sans"/>
                <w:spacing w:val="-4"/>
                <w:sz w:val="22"/>
              </w:rPr>
              <w:t>The project is still on-going, and I would be grateful if the contents of this report could remain confidential until data publication.</w:t>
            </w:r>
          </w:p>
          <w:p w14:paraId="3E4F0DF3" w14:textId="77777777" w:rsidR="009F17E1" w:rsidRDefault="009F17E1" w:rsidP="009F2942">
            <w:pPr>
              <w:pStyle w:val="05Text"/>
              <w:spacing w:after="120"/>
              <w:ind w:left="886" w:hanging="526"/>
              <w:rPr>
                <w:rFonts w:ascii="Open Sans" w:hAnsi="Open Sans" w:cs="Open Sans"/>
                <w:spacing w:val="-4"/>
                <w:sz w:val="22"/>
              </w:rPr>
            </w:pPr>
          </w:p>
          <w:p w14:paraId="188DC69C" w14:textId="5551CDBF" w:rsidR="009F17E1" w:rsidRDefault="009F17E1" w:rsidP="009F2942">
            <w:pPr>
              <w:pStyle w:val="05Text"/>
              <w:spacing w:after="120"/>
              <w:ind w:left="886" w:hanging="526"/>
              <w:rPr>
                <w:rFonts w:ascii="Open Sans" w:hAnsi="Open Sans" w:cs="Open Sans"/>
                <w:spacing w:val="-4"/>
                <w:sz w:val="22"/>
              </w:rPr>
            </w:pPr>
          </w:p>
        </w:tc>
      </w:tr>
      <w:tr w:rsidR="00401EFF" w14:paraId="798D0E27" w14:textId="77777777" w:rsidTr="009F17E1">
        <w:trPr>
          <w:cantSplit/>
        </w:trPr>
        <w:tc>
          <w:tcPr>
            <w:tcW w:w="9016" w:type="dxa"/>
          </w:tcPr>
          <w:p w14:paraId="2AF78C73" w14:textId="71D7B447" w:rsidR="009F17E1" w:rsidRPr="009F17E1" w:rsidRDefault="00401EFF" w:rsidP="009F17E1">
            <w:pPr>
              <w:pStyle w:val="05Text"/>
              <w:numPr>
                <w:ilvl w:val="0"/>
                <w:numId w:val="2"/>
              </w:numPr>
              <w:spacing w:after="120"/>
              <w:ind w:left="886" w:hanging="526"/>
              <w:rPr>
                <w:rFonts w:ascii="Open Sans" w:hAnsi="Open Sans" w:cs="Open Sans"/>
                <w:spacing w:val="-4"/>
                <w:sz w:val="22"/>
              </w:rPr>
            </w:pPr>
            <w:r w:rsidRPr="00401EFF">
              <w:rPr>
                <w:rFonts w:ascii="Open Sans" w:hAnsi="Open Sans" w:cs="Open Sans"/>
                <w:b/>
                <w:spacing w:val="-4"/>
                <w:sz w:val="22"/>
              </w:rPr>
              <w:lastRenderedPageBreak/>
              <w:t>Describe the key outcomes to date</w:t>
            </w:r>
            <w:r w:rsidR="00CA2BFC">
              <w:rPr>
                <w:rFonts w:ascii="Open Sans" w:hAnsi="Open Sans" w:cs="Open Sans"/>
                <w:b/>
                <w:spacing w:val="-4"/>
                <w:sz w:val="22"/>
              </w:rPr>
              <w:t>, including whether this grant has resulted in further research</w:t>
            </w:r>
            <w:r w:rsidRPr="00401EFF">
              <w:rPr>
                <w:rFonts w:ascii="Open Sans" w:hAnsi="Open Sans" w:cs="Open Sans"/>
                <w:b/>
                <w:spacing w:val="-4"/>
                <w:sz w:val="22"/>
              </w:rPr>
              <w:t>. Please summarise your conclusions</w:t>
            </w:r>
            <w:r w:rsidRPr="00401EFF">
              <w:rPr>
                <w:rFonts w:ascii="Open Sans" w:hAnsi="Open Sans" w:cs="Open Sans"/>
                <w:spacing w:val="-4"/>
                <w:sz w:val="22"/>
              </w:rPr>
              <w:t>.</w:t>
            </w:r>
            <w:r>
              <w:rPr>
                <w:rFonts w:ascii="Open Sans" w:hAnsi="Open Sans" w:cs="Open Sans"/>
                <w:spacing w:val="-4"/>
                <w:sz w:val="22"/>
              </w:rPr>
              <w:t xml:space="preserve"> </w:t>
            </w:r>
            <w:r>
              <w:rPr>
                <w:rFonts w:ascii="Open Sans" w:hAnsi="Open Sans" w:cs="Open Sans"/>
                <w:b/>
                <w:spacing w:val="-4"/>
                <w:sz w:val="22"/>
              </w:rPr>
              <w:t>(</w:t>
            </w:r>
            <w:r w:rsidR="00C50F23">
              <w:rPr>
                <w:rFonts w:ascii="Open Sans" w:hAnsi="Open Sans" w:cs="Open Sans"/>
                <w:b/>
                <w:spacing w:val="-4"/>
                <w:sz w:val="22"/>
              </w:rPr>
              <w:t>Up to</w:t>
            </w:r>
            <w:r>
              <w:rPr>
                <w:rFonts w:ascii="Open Sans" w:hAnsi="Open Sans" w:cs="Open Sans"/>
                <w:b/>
                <w:spacing w:val="-4"/>
                <w:sz w:val="22"/>
              </w:rPr>
              <w:t xml:space="preserve"> 600 words)</w:t>
            </w:r>
          </w:p>
          <w:p w14:paraId="5E8AE47D" w14:textId="2903EAA9" w:rsidR="00814C12" w:rsidRDefault="00814C12" w:rsidP="009F17E1">
            <w:pPr>
              <w:pStyle w:val="05Text"/>
              <w:spacing w:after="120"/>
              <w:rPr>
                <w:rFonts w:ascii="Open Sans" w:hAnsi="Open Sans" w:cs="Open Sans"/>
                <w:spacing w:val="-4"/>
                <w:sz w:val="22"/>
              </w:rPr>
            </w:pPr>
          </w:p>
          <w:p w14:paraId="0C002622" w14:textId="22194892" w:rsidR="00B91EBB" w:rsidRDefault="00814C12" w:rsidP="009F17E1">
            <w:pPr>
              <w:pStyle w:val="05Text"/>
              <w:spacing w:after="120"/>
              <w:rPr>
                <w:rFonts w:ascii="Open Sans" w:hAnsi="Open Sans" w:cs="Open Sans"/>
                <w:spacing w:val="-4"/>
                <w:sz w:val="22"/>
              </w:rPr>
            </w:pPr>
            <w:r>
              <w:rPr>
                <w:rFonts w:ascii="Open Sans" w:hAnsi="Open Sans" w:cs="Open Sans"/>
                <w:spacing w:val="-4"/>
                <w:sz w:val="22"/>
              </w:rPr>
              <w:t>The main outcomes to date concern Aim 2</w:t>
            </w:r>
            <w:r w:rsidR="004F3D03">
              <w:rPr>
                <w:rFonts w:ascii="Open Sans" w:hAnsi="Open Sans" w:cs="Open Sans"/>
                <w:spacing w:val="-4"/>
                <w:sz w:val="22"/>
              </w:rPr>
              <w:t xml:space="preserve">. </w:t>
            </w:r>
            <w:r w:rsidR="004F3D03" w:rsidRPr="00052A3E">
              <w:rPr>
                <w:rFonts w:ascii="Open Sans" w:hAnsi="Open Sans" w:cs="Open Sans"/>
                <w:b/>
                <w:spacing w:val="-4"/>
                <w:sz w:val="22"/>
              </w:rPr>
              <w:t>We demonstrated synergistic effects of p97 inhibition and DNA demethylation in eliminating AML cells, including candidate leukaemia stem/progenitor cells in cell lines and patient samples.</w:t>
            </w:r>
          </w:p>
          <w:p w14:paraId="530FD8EB" w14:textId="77777777" w:rsidR="00052A3E" w:rsidRDefault="00052A3E" w:rsidP="009F17E1">
            <w:pPr>
              <w:pStyle w:val="05Text"/>
              <w:spacing w:after="120"/>
              <w:rPr>
                <w:rFonts w:ascii="Open Sans" w:hAnsi="Open Sans" w:cs="Open Sans"/>
                <w:spacing w:val="-4"/>
                <w:sz w:val="22"/>
              </w:rPr>
            </w:pPr>
            <w:r>
              <w:rPr>
                <w:rFonts w:ascii="Open Sans" w:hAnsi="Open Sans" w:cs="Open Sans"/>
                <w:spacing w:val="-4"/>
                <w:sz w:val="22"/>
              </w:rPr>
              <w:t>In detail:</w:t>
            </w:r>
          </w:p>
          <w:p w14:paraId="44C83CD7" w14:textId="42C27104" w:rsidR="00B91EBB" w:rsidRDefault="00052A3E" w:rsidP="009F17E1">
            <w:pPr>
              <w:pStyle w:val="05Text"/>
              <w:spacing w:after="120"/>
              <w:rPr>
                <w:rFonts w:ascii="Open Sans" w:hAnsi="Open Sans" w:cs="Open Sans"/>
                <w:spacing w:val="-4"/>
                <w:sz w:val="22"/>
              </w:rPr>
            </w:pPr>
            <w:r>
              <w:rPr>
                <w:rFonts w:ascii="Open Sans" w:hAnsi="Open Sans" w:cs="Open Sans"/>
                <w:spacing w:val="-4"/>
                <w:sz w:val="22"/>
              </w:rPr>
              <w:t>W</w:t>
            </w:r>
            <w:r w:rsidR="000529DE">
              <w:rPr>
                <w:rFonts w:ascii="Open Sans" w:hAnsi="Open Sans" w:cs="Open Sans"/>
                <w:spacing w:val="-4"/>
                <w:sz w:val="22"/>
              </w:rPr>
              <w:t>e</w:t>
            </w:r>
            <w:r w:rsidR="007D5B11">
              <w:rPr>
                <w:rFonts w:ascii="Open Sans" w:hAnsi="Open Sans" w:cs="Open Sans"/>
                <w:spacing w:val="-4"/>
                <w:sz w:val="22"/>
              </w:rPr>
              <w:t xml:space="preserve"> have shown that inhibition of the p97 </w:t>
            </w:r>
            <w:r w:rsidR="00857BD2">
              <w:rPr>
                <w:rFonts w:ascii="Open Sans" w:hAnsi="Open Sans" w:cs="Open Sans"/>
                <w:spacing w:val="-4"/>
                <w:sz w:val="22"/>
              </w:rPr>
              <w:t>AAA ATPase</w:t>
            </w:r>
            <w:r w:rsidR="009A55C6">
              <w:rPr>
                <w:rFonts w:ascii="Open Sans" w:hAnsi="Open Sans" w:cs="Open Sans"/>
                <w:spacing w:val="-4"/>
                <w:sz w:val="22"/>
              </w:rPr>
              <w:t xml:space="preserve"> in AML cell lines reflecting common genetic events in human disease, MOLM-13 (</w:t>
            </w:r>
            <w:r w:rsidR="009A55C6" w:rsidRPr="009A55C6">
              <w:rPr>
                <w:rFonts w:ascii="Open Sans" w:hAnsi="Open Sans" w:cs="Open Sans"/>
                <w:i/>
                <w:spacing w:val="-4"/>
                <w:sz w:val="22"/>
              </w:rPr>
              <w:t>KMT2A-MLLT3</w:t>
            </w:r>
            <w:r w:rsidR="009A55C6">
              <w:rPr>
                <w:rFonts w:ascii="Open Sans" w:hAnsi="Open Sans" w:cs="Open Sans"/>
                <w:spacing w:val="-4"/>
                <w:sz w:val="22"/>
              </w:rPr>
              <w:t xml:space="preserve"> and </w:t>
            </w:r>
            <w:r w:rsidR="009A55C6" w:rsidRPr="009A55C6">
              <w:rPr>
                <w:rFonts w:ascii="Open Sans" w:hAnsi="Open Sans" w:cs="Open Sans"/>
                <w:i/>
                <w:spacing w:val="-4"/>
                <w:sz w:val="22"/>
              </w:rPr>
              <w:t>FLT3-ITD</w:t>
            </w:r>
            <w:r w:rsidR="009A55C6">
              <w:rPr>
                <w:rFonts w:ascii="Open Sans" w:hAnsi="Open Sans" w:cs="Open Sans"/>
                <w:spacing w:val="-4"/>
                <w:sz w:val="22"/>
              </w:rPr>
              <w:t>)</w:t>
            </w:r>
            <w:r w:rsidR="00921CE6">
              <w:rPr>
                <w:rFonts w:ascii="Open Sans" w:hAnsi="Open Sans" w:cs="Open Sans"/>
                <w:spacing w:val="-4"/>
                <w:sz w:val="22"/>
              </w:rPr>
              <w:t xml:space="preserve">, </w:t>
            </w:r>
            <w:r w:rsidR="009A55C6">
              <w:rPr>
                <w:rFonts w:ascii="Open Sans" w:hAnsi="Open Sans" w:cs="Open Sans"/>
                <w:spacing w:val="-4"/>
                <w:sz w:val="22"/>
              </w:rPr>
              <w:t xml:space="preserve">and OCI-AML3 (mutant </w:t>
            </w:r>
            <w:r w:rsidR="009A55C6" w:rsidRPr="009A55C6">
              <w:rPr>
                <w:rFonts w:ascii="Open Sans" w:hAnsi="Open Sans" w:cs="Open Sans"/>
                <w:i/>
                <w:spacing w:val="-4"/>
                <w:sz w:val="22"/>
              </w:rPr>
              <w:t>NPM1</w:t>
            </w:r>
            <w:r w:rsidR="009A55C6">
              <w:rPr>
                <w:rFonts w:ascii="Open Sans" w:hAnsi="Open Sans" w:cs="Open Sans"/>
                <w:spacing w:val="-4"/>
                <w:sz w:val="22"/>
              </w:rPr>
              <w:t xml:space="preserve"> and </w:t>
            </w:r>
            <w:r w:rsidR="009A55C6" w:rsidRPr="009A55C6">
              <w:rPr>
                <w:rFonts w:ascii="Open Sans" w:hAnsi="Open Sans" w:cs="Open Sans"/>
                <w:i/>
                <w:spacing w:val="-4"/>
                <w:sz w:val="22"/>
              </w:rPr>
              <w:t>DNMT3A</w:t>
            </w:r>
            <w:r w:rsidR="009A55C6">
              <w:rPr>
                <w:rFonts w:ascii="Open Sans" w:hAnsi="Open Sans" w:cs="Open Sans"/>
                <w:spacing w:val="-4"/>
                <w:sz w:val="22"/>
              </w:rPr>
              <w:t xml:space="preserve">) </w:t>
            </w:r>
            <w:r w:rsidR="00921CE6">
              <w:rPr>
                <w:rFonts w:ascii="Open Sans" w:hAnsi="Open Sans" w:cs="Open Sans"/>
                <w:spacing w:val="-4"/>
                <w:sz w:val="22"/>
              </w:rPr>
              <w:t>tested using 2 different inhibitors, NMS-873 and CB-5083</w:t>
            </w:r>
            <w:r w:rsidR="009A55C6">
              <w:rPr>
                <w:rFonts w:ascii="Open Sans" w:hAnsi="Open Sans" w:cs="Open Sans"/>
                <w:spacing w:val="-4"/>
                <w:sz w:val="22"/>
              </w:rPr>
              <w:t xml:space="preserve"> (Anderson et al, </w:t>
            </w:r>
            <w:r w:rsidR="009A55C6">
              <w:rPr>
                <w:rFonts w:ascii="Open Sans" w:hAnsi="Open Sans" w:cs="Open Sans"/>
                <w:i/>
                <w:spacing w:val="-4"/>
                <w:sz w:val="22"/>
              </w:rPr>
              <w:t>Cancer Cell</w:t>
            </w:r>
            <w:r w:rsidR="009A55C6">
              <w:rPr>
                <w:rFonts w:ascii="Open Sans" w:hAnsi="Open Sans" w:cs="Open Sans"/>
                <w:spacing w:val="-4"/>
                <w:sz w:val="22"/>
              </w:rPr>
              <w:t xml:space="preserve"> 2015, </w:t>
            </w:r>
            <w:r w:rsidR="009A55C6" w:rsidRPr="009A55C6">
              <w:rPr>
                <w:rFonts w:ascii="Open Sans" w:hAnsi="Open Sans" w:cs="Open Sans"/>
                <w:spacing w:val="-4"/>
                <w:sz w:val="22"/>
              </w:rPr>
              <w:t>10.1016/j.ccell.2015.10.002</w:t>
            </w:r>
            <w:r w:rsidR="009A55C6">
              <w:rPr>
                <w:rFonts w:ascii="Open Sans" w:hAnsi="Open Sans" w:cs="Open Sans"/>
                <w:spacing w:val="-4"/>
                <w:sz w:val="22"/>
              </w:rPr>
              <w:t>)</w:t>
            </w:r>
            <w:r w:rsidR="00921CE6">
              <w:rPr>
                <w:rFonts w:ascii="Open Sans" w:hAnsi="Open Sans" w:cs="Open Sans"/>
                <w:spacing w:val="-4"/>
                <w:sz w:val="22"/>
              </w:rPr>
              <w:t xml:space="preserve">, results in decreased cell growth and reduced </w:t>
            </w:r>
            <w:r w:rsidR="009A55C6">
              <w:rPr>
                <w:rFonts w:ascii="Open Sans" w:hAnsi="Open Sans" w:cs="Open Sans"/>
                <w:spacing w:val="-4"/>
                <w:sz w:val="22"/>
              </w:rPr>
              <w:t xml:space="preserve">cell </w:t>
            </w:r>
            <w:r w:rsidR="00921CE6">
              <w:rPr>
                <w:rFonts w:ascii="Open Sans" w:hAnsi="Open Sans" w:cs="Open Sans"/>
                <w:spacing w:val="-4"/>
                <w:sz w:val="22"/>
              </w:rPr>
              <w:t>viability</w:t>
            </w:r>
            <w:r w:rsidR="009A55C6">
              <w:rPr>
                <w:rFonts w:ascii="Open Sans" w:hAnsi="Open Sans" w:cs="Open Sans"/>
                <w:spacing w:val="-4"/>
                <w:sz w:val="22"/>
              </w:rPr>
              <w:t>.</w:t>
            </w:r>
            <w:r w:rsidR="000529DE">
              <w:rPr>
                <w:rFonts w:ascii="Open Sans" w:hAnsi="Open Sans" w:cs="Open Sans"/>
                <w:spacing w:val="-4"/>
                <w:sz w:val="22"/>
              </w:rPr>
              <w:t xml:space="preserve"> IC50 (viability) were calculated as CB</w:t>
            </w:r>
            <w:r>
              <w:rPr>
                <w:rFonts w:ascii="Open Sans" w:hAnsi="Open Sans" w:cs="Open Sans"/>
                <w:spacing w:val="-4"/>
                <w:sz w:val="22"/>
              </w:rPr>
              <w:t>-</w:t>
            </w:r>
            <w:r w:rsidR="000529DE">
              <w:rPr>
                <w:rFonts w:ascii="Open Sans" w:hAnsi="Open Sans" w:cs="Open Sans"/>
                <w:spacing w:val="-4"/>
                <w:sz w:val="22"/>
              </w:rPr>
              <w:t xml:space="preserve">5083 </w:t>
            </w:r>
            <w:r w:rsidR="004E1CBF">
              <w:rPr>
                <w:rFonts w:ascii="Open Sans" w:hAnsi="Open Sans" w:cs="Open Sans"/>
                <w:spacing w:val="-4"/>
                <w:sz w:val="22"/>
              </w:rPr>
              <w:t>400-450</w:t>
            </w:r>
            <w:r w:rsidR="000529DE">
              <w:rPr>
                <w:rFonts w:ascii="Open Sans" w:hAnsi="Open Sans" w:cs="Open Sans"/>
                <w:spacing w:val="-4"/>
                <w:sz w:val="22"/>
              </w:rPr>
              <w:t xml:space="preserve">nM and NMS-873 </w:t>
            </w:r>
            <w:r w:rsidR="004E1CBF">
              <w:rPr>
                <w:rFonts w:ascii="Open Sans" w:hAnsi="Open Sans" w:cs="Open Sans"/>
                <w:spacing w:val="-4"/>
                <w:sz w:val="22"/>
              </w:rPr>
              <w:t>1.8-</w:t>
            </w:r>
            <w:r w:rsidR="000529DE">
              <w:rPr>
                <w:rFonts w:ascii="Open Sans" w:hAnsi="Open Sans" w:cs="Open Sans"/>
                <w:spacing w:val="-4"/>
                <w:sz w:val="22"/>
              </w:rPr>
              <w:t>2</w:t>
            </w:r>
            <w:r w:rsidR="000529DE" w:rsidRPr="000529DE">
              <w:rPr>
                <w:rFonts w:ascii="Symbol" w:hAnsi="Symbol" w:cs="Open Sans"/>
                <w:spacing w:val="-4"/>
                <w:sz w:val="22"/>
              </w:rPr>
              <w:t></w:t>
            </w:r>
            <w:r w:rsidR="000529DE">
              <w:rPr>
                <w:rFonts w:ascii="Open Sans" w:hAnsi="Open Sans" w:cs="Open Sans"/>
                <w:spacing w:val="-4"/>
                <w:sz w:val="22"/>
              </w:rPr>
              <w:t xml:space="preserve">M in both cell lines, </w:t>
            </w:r>
            <w:r w:rsidR="004E1CBF">
              <w:rPr>
                <w:rFonts w:ascii="Open Sans" w:hAnsi="Open Sans" w:cs="Open Sans"/>
                <w:spacing w:val="-4"/>
                <w:sz w:val="22"/>
              </w:rPr>
              <w:t>in line with</w:t>
            </w:r>
            <w:r w:rsidR="000529DE">
              <w:rPr>
                <w:rFonts w:ascii="Open Sans" w:hAnsi="Open Sans" w:cs="Open Sans"/>
                <w:spacing w:val="-4"/>
                <w:sz w:val="22"/>
              </w:rPr>
              <w:t xml:space="preserve"> observations in colon cancer (Anderson et al, 2015, above). </w:t>
            </w:r>
            <w:r w:rsidR="009A55C6">
              <w:rPr>
                <w:rFonts w:ascii="Open Sans" w:hAnsi="Open Sans" w:cs="Open Sans"/>
                <w:spacing w:val="-4"/>
                <w:sz w:val="22"/>
              </w:rPr>
              <w:t>At a cellular level, the results are mediated by increased apoptosis</w:t>
            </w:r>
            <w:r w:rsidR="00B91EBB">
              <w:rPr>
                <w:rFonts w:ascii="Open Sans" w:hAnsi="Open Sans" w:cs="Open Sans"/>
                <w:spacing w:val="-4"/>
                <w:sz w:val="22"/>
              </w:rPr>
              <w:t xml:space="preserve"> (p&lt;0.01, NMS-873; p&lt;0.001, CB-5083)</w:t>
            </w:r>
            <w:r w:rsidR="009A55C6">
              <w:rPr>
                <w:rFonts w:ascii="Open Sans" w:hAnsi="Open Sans" w:cs="Open Sans"/>
                <w:spacing w:val="-4"/>
                <w:sz w:val="22"/>
              </w:rPr>
              <w:t xml:space="preserve"> and an accumulation of cells in the G0/G1 phase of the cell cycle</w:t>
            </w:r>
            <w:r w:rsidR="00B91EBB">
              <w:rPr>
                <w:rFonts w:ascii="Open Sans" w:hAnsi="Open Sans" w:cs="Open Sans"/>
                <w:spacing w:val="-4"/>
                <w:sz w:val="22"/>
              </w:rPr>
              <w:t xml:space="preserve"> (p&lt;0.0001, both inhibitors)</w:t>
            </w:r>
            <w:r w:rsidR="009A55C6">
              <w:rPr>
                <w:rFonts w:ascii="Open Sans" w:hAnsi="Open Sans" w:cs="Open Sans"/>
                <w:spacing w:val="-4"/>
                <w:sz w:val="22"/>
              </w:rPr>
              <w:t>, with no clear effects on cell differentiation</w:t>
            </w:r>
            <w:r w:rsidR="000529DE">
              <w:rPr>
                <w:rFonts w:ascii="Open Sans" w:hAnsi="Open Sans" w:cs="Open Sans"/>
                <w:spacing w:val="-4"/>
                <w:sz w:val="22"/>
              </w:rPr>
              <w:t>.</w:t>
            </w:r>
            <w:r w:rsidR="009A55C6">
              <w:rPr>
                <w:rFonts w:ascii="Open Sans" w:hAnsi="Open Sans" w:cs="Open Sans"/>
                <w:spacing w:val="-4"/>
                <w:sz w:val="22"/>
              </w:rPr>
              <w:t xml:space="preserve"> </w:t>
            </w:r>
            <w:r w:rsidR="000529DE">
              <w:rPr>
                <w:rFonts w:ascii="Open Sans" w:hAnsi="Open Sans" w:cs="Open Sans"/>
                <w:spacing w:val="-4"/>
                <w:sz w:val="22"/>
              </w:rPr>
              <w:t>There is</w:t>
            </w:r>
            <w:r w:rsidR="009A55C6">
              <w:rPr>
                <w:rFonts w:ascii="Open Sans" w:hAnsi="Open Sans" w:cs="Open Sans"/>
                <w:spacing w:val="-4"/>
                <w:sz w:val="22"/>
              </w:rPr>
              <w:t xml:space="preserve"> activation of genes in the apoptotic arm of the UPR, namely </w:t>
            </w:r>
            <w:r w:rsidR="009A55C6" w:rsidRPr="000529DE">
              <w:rPr>
                <w:rFonts w:ascii="Open Sans" w:hAnsi="Open Sans" w:cs="Open Sans"/>
                <w:i/>
                <w:spacing w:val="-4"/>
                <w:sz w:val="22"/>
              </w:rPr>
              <w:t>CALR</w:t>
            </w:r>
            <w:r w:rsidR="009A55C6">
              <w:rPr>
                <w:rFonts w:ascii="Open Sans" w:hAnsi="Open Sans" w:cs="Open Sans"/>
                <w:spacing w:val="-4"/>
                <w:sz w:val="22"/>
              </w:rPr>
              <w:t xml:space="preserve">, </w:t>
            </w:r>
            <w:r w:rsidR="009A55C6" w:rsidRPr="000529DE">
              <w:rPr>
                <w:rFonts w:ascii="Open Sans" w:hAnsi="Open Sans" w:cs="Open Sans"/>
                <w:i/>
                <w:spacing w:val="-4"/>
                <w:sz w:val="22"/>
              </w:rPr>
              <w:t>DNAJC3</w:t>
            </w:r>
            <w:r w:rsidR="009A55C6">
              <w:rPr>
                <w:rFonts w:ascii="Open Sans" w:hAnsi="Open Sans" w:cs="Open Sans"/>
                <w:spacing w:val="-4"/>
                <w:sz w:val="22"/>
              </w:rPr>
              <w:t xml:space="preserve">, </w:t>
            </w:r>
            <w:r w:rsidR="009A55C6" w:rsidRPr="000529DE">
              <w:rPr>
                <w:rFonts w:ascii="Open Sans" w:hAnsi="Open Sans" w:cs="Open Sans"/>
                <w:i/>
                <w:spacing w:val="-4"/>
                <w:sz w:val="22"/>
              </w:rPr>
              <w:t>DNAJB9</w:t>
            </w:r>
            <w:r w:rsidR="009A55C6">
              <w:rPr>
                <w:rFonts w:ascii="Open Sans" w:hAnsi="Open Sans" w:cs="Open Sans"/>
                <w:spacing w:val="-4"/>
                <w:sz w:val="22"/>
              </w:rPr>
              <w:t xml:space="preserve"> and </w:t>
            </w:r>
            <w:r w:rsidR="009A55C6" w:rsidRPr="00B91EBB">
              <w:rPr>
                <w:rFonts w:ascii="Open Sans" w:hAnsi="Open Sans" w:cs="Open Sans"/>
                <w:i/>
                <w:spacing w:val="-4"/>
                <w:sz w:val="22"/>
              </w:rPr>
              <w:t>DNAJB11</w:t>
            </w:r>
            <w:r w:rsidR="000529DE">
              <w:rPr>
                <w:rFonts w:ascii="Open Sans" w:hAnsi="Open Sans" w:cs="Open Sans"/>
                <w:spacing w:val="-4"/>
                <w:sz w:val="22"/>
              </w:rPr>
              <w:t>.</w:t>
            </w:r>
          </w:p>
          <w:p w14:paraId="379CF278" w14:textId="7C5A4492" w:rsidR="00052A3E" w:rsidRDefault="00B91EBB" w:rsidP="009F17E1">
            <w:pPr>
              <w:pStyle w:val="05Text"/>
              <w:spacing w:after="120"/>
              <w:rPr>
                <w:rFonts w:ascii="Open Sans" w:hAnsi="Open Sans" w:cs="Open Sans"/>
                <w:spacing w:val="-4"/>
                <w:sz w:val="22"/>
              </w:rPr>
            </w:pPr>
            <w:r>
              <w:rPr>
                <w:rFonts w:ascii="Open Sans" w:hAnsi="Open Sans" w:cs="Open Sans"/>
                <w:spacing w:val="-4"/>
                <w:sz w:val="22"/>
              </w:rPr>
              <w:t xml:space="preserve">We tested the effects of CB-5083-mediated p97 inhibition in colony-forming cell (CFC) assays, a surrogate for the presence of culture-initiating leukaemia progenitor activity. We could not observe a reduction in CFC with CB-5083 alone. However, </w:t>
            </w:r>
            <w:r w:rsidR="004E1CBF">
              <w:rPr>
                <w:rFonts w:ascii="Open Sans" w:hAnsi="Open Sans" w:cs="Open Sans"/>
                <w:spacing w:val="-4"/>
                <w:sz w:val="22"/>
              </w:rPr>
              <w:t>combinatorial use of CB-5083 (450nM) and azacytidine (AZA, 7</w:t>
            </w:r>
            <w:r w:rsidR="004E1CBF" w:rsidRPr="004E1CBF">
              <w:rPr>
                <w:rFonts w:ascii="Symbol" w:hAnsi="Symbol" w:cs="Open Sans"/>
                <w:spacing w:val="-4"/>
                <w:sz w:val="22"/>
              </w:rPr>
              <w:t></w:t>
            </w:r>
            <w:r w:rsidR="004E1CBF">
              <w:rPr>
                <w:rFonts w:ascii="Open Sans" w:hAnsi="Open Sans" w:cs="Open Sans"/>
                <w:spacing w:val="-4"/>
                <w:sz w:val="22"/>
              </w:rPr>
              <w:t>M) resulted in reduced CFC activity, which exceeded with activity of AZA alone (p&lt;0.01, 2-fold reduction compared with AZA). The sam</w:t>
            </w:r>
            <w:r w:rsidR="004F3D03">
              <w:rPr>
                <w:rFonts w:ascii="Open Sans" w:hAnsi="Open Sans" w:cs="Open Sans"/>
                <w:spacing w:val="-4"/>
                <w:sz w:val="22"/>
              </w:rPr>
              <w:t xml:space="preserve">e effect was observed in liquid cultures of both MOLM-13 and OCI-AML3 cells, with a combination of CB-5083 and AZA further decreasing growth and viability relative to AZA alone (p&lt;0.05). Interesting, the enhanced effect could also be observed with half-dose of AZA (p&lt;0.01, MOLM-13) or half-dose of both compounds (p&lt;0.05, OCI-AML3), suggesting synergistic activity. The possibility of using lower doses of both compounds </w:t>
            </w:r>
            <w:r w:rsidR="00052A3E">
              <w:rPr>
                <w:rFonts w:ascii="Open Sans" w:hAnsi="Open Sans" w:cs="Open Sans"/>
                <w:spacing w:val="-4"/>
                <w:sz w:val="22"/>
              </w:rPr>
              <w:t>may have therapeutic implications for reduced toxicity.</w:t>
            </w:r>
            <w:r w:rsidR="00535538">
              <w:rPr>
                <w:rFonts w:ascii="Open Sans" w:hAnsi="Open Sans" w:cs="Open Sans"/>
                <w:spacing w:val="-4"/>
                <w:sz w:val="22"/>
              </w:rPr>
              <w:t xml:space="preserve"> Preliminary i</w:t>
            </w:r>
            <w:r w:rsidR="00052A3E">
              <w:rPr>
                <w:rFonts w:ascii="Open Sans" w:hAnsi="Open Sans" w:cs="Open Sans"/>
                <w:spacing w:val="-4"/>
                <w:sz w:val="22"/>
              </w:rPr>
              <w:t xml:space="preserve">nvestigation of </w:t>
            </w:r>
            <w:r w:rsidR="00AB593E">
              <w:rPr>
                <w:rFonts w:ascii="Open Sans" w:hAnsi="Open Sans" w:cs="Open Sans"/>
                <w:spacing w:val="-4"/>
                <w:sz w:val="22"/>
              </w:rPr>
              <w:t>the effects of CB-5083 ± AZA in patient samples (n=4 analysed</w:t>
            </w:r>
            <w:r w:rsidR="00535538">
              <w:rPr>
                <w:rFonts w:ascii="Open Sans" w:hAnsi="Open Sans" w:cs="Open Sans"/>
                <w:spacing w:val="-4"/>
                <w:sz w:val="22"/>
              </w:rPr>
              <w:t xml:space="preserve">, </w:t>
            </w:r>
            <w:r w:rsidR="00AB593E">
              <w:rPr>
                <w:rFonts w:ascii="Open Sans" w:hAnsi="Open Sans" w:cs="Open Sans"/>
                <w:spacing w:val="-4"/>
                <w:sz w:val="22"/>
              </w:rPr>
              <w:t xml:space="preserve">distinct mutational profiles), resulted in reduced %CD34+ cells in 24-hour liquid culture with SCF, Flt3L and TPO (40-71% of AZA, 14-34% of DMSO), </w:t>
            </w:r>
            <w:r w:rsidR="00535538">
              <w:rPr>
                <w:rFonts w:ascii="Open Sans" w:hAnsi="Open Sans" w:cs="Open Sans"/>
                <w:spacing w:val="-4"/>
                <w:sz w:val="22"/>
              </w:rPr>
              <w:t>indicating clinical relevance of the findings.</w:t>
            </w:r>
          </w:p>
          <w:p w14:paraId="2E057E64" w14:textId="55CE6BDF" w:rsidR="00535538" w:rsidRDefault="00535538" w:rsidP="009F17E1">
            <w:pPr>
              <w:pStyle w:val="05Text"/>
              <w:spacing w:after="120"/>
              <w:rPr>
                <w:rFonts w:ascii="Open Sans" w:hAnsi="Open Sans" w:cs="Open Sans"/>
                <w:spacing w:val="-4"/>
                <w:sz w:val="22"/>
              </w:rPr>
            </w:pPr>
            <w:r>
              <w:rPr>
                <w:rFonts w:ascii="Open Sans" w:hAnsi="Open Sans" w:cs="Open Sans"/>
                <w:spacing w:val="-4"/>
                <w:sz w:val="22"/>
              </w:rPr>
              <w:t>At a molecular level, RNA-sequencing analysis of MOLM-13 cells treated with CB-5083, AZA or CB-5083+AZA, revealed that the additional effects of CB-5083 could be attributed to induction of cell senescence (GSEA, NES</w:t>
            </w:r>
            <w:r w:rsidR="00E25D4B">
              <w:rPr>
                <w:rFonts w:ascii="Open Sans" w:hAnsi="Open Sans" w:cs="Open Sans"/>
                <w:spacing w:val="-4"/>
                <w:sz w:val="22"/>
              </w:rPr>
              <w:t>=</w:t>
            </w:r>
            <w:r>
              <w:rPr>
                <w:rFonts w:ascii="Open Sans" w:hAnsi="Open Sans" w:cs="Open Sans"/>
                <w:spacing w:val="-4"/>
                <w:sz w:val="22"/>
              </w:rPr>
              <w:t>2.88, p-</w:t>
            </w:r>
            <w:proofErr w:type="spellStart"/>
            <w:r>
              <w:rPr>
                <w:rFonts w:ascii="Open Sans" w:hAnsi="Open Sans" w:cs="Open Sans"/>
                <w:spacing w:val="-4"/>
                <w:sz w:val="22"/>
              </w:rPr>
              <w:t>val</w:t>
            </w:r>
            <w:proofErr w:type="spellEnd"/>
            <w:r>
              <w:rPr>
                <w:rFonts w:ascii="Open Sans" w:hAnsi="Open Sans" w:cs="Open Sans"/>
                <w:spacing w:val="-4"/>
                <w:sz w:val="22"/>
              </w:rPr>
              <w:t>=0, FDR q-</w:t>
            </w:r>
            <w:proofErr w:type="spellStart"/>
            <w:r>
              <w:rPr>
                <w:rFonts w:ascii="Open Sans" w:hAnsi="Open Sans" w:cs="Open Sans"/>
                <w:spacing w:val="-4"/>
                <w:sz w:val="22"/>
              </w:rPr>
              <w:t>val</w:t>
            </w:r>
            <w:proofErr w:type="spellEnd"/>
            <w:r>
              <w:rPr>
                <w:rFonts w:ascii="Open Sans" w:hAnsi="Open Sans" w:cs="Open Sans"/>
                <w:spacing w:val="-4"/>
                <w:sz w:val="22"/>
              </w:rPr>
              <w:t xml:space="preserve">=0). Interestingly, </w:t>
            </w:r>
            <w:r w:rsidR="00E25D4B">
              <w:rPr>
                <w:rFonts w:ascii="Open Sans" w:hAnsi="Open Sans" w:cs="Open Sans"/>
                <w:spacing w:val="-4"/>
                <w:sz w:val="22"/>
              </w:rPr>
              <w:t>AZA itself results in UPR activation (GSEA, NES=1.33, p-</w:t>
            </w:r>
            <w:proofErr w:type="spellStart"/>
            <w:r w:rsidR="00E25D4B">
              <w:rPr>
                <w:rFonts w:ascii="Open Sans" w:hAnsi="Open Sans" w:cs="Open Sans"/>
                <w:spacing w:val="-4"/>
                <w:sz w:val="22"/>
              </w:rPr>
              <w:t>val</w:t>
            </w:r>
            <w:proofErr w:type="spellEnd"/>
            <w:r w:rsidR="00E25D4B">
              <w:rPr>
                <w:rFonts w:ascii="Open Sans" w:hAnsi="Open Sans" w:cs="Open Sans"/>
                <w:spacing w:val="-4"/>
                <w:sz w:val="22"/>
              </w:rPr>
              <w:t>=0, FDR q-val-0.11), suggesting convergent rather than independent effects.</w:t>
            </w:r>
          </w:p>
          <w:p w14:paraId="798E4A9E" w14:textId="62D17A65" w:rsidR="00E25D4B" w:rsidRDefault="00E25D4B" w:rsidP="009F17E1">
            <w:pPr>
              <w:pStyle w:val="05Text"/>
              <w:spacing w:after="120"/>
              <w:rPr>
                <w:rFonts w:ascii="Open Sans" w:hAnsi="Open Sans" w:cs="Open Sans"/>
                <w:spacing w:val="-4"/>
                <w:sz w:val="22"/>
              </w:rPr>
            </w:pPr>
          </w:p>
          <w:p w14:paraId="4CD88365" w14:textId="05A70D41" w:rsidR="009F17E1" w:rsidRDefault="00A26A72" w:rsidP="009F17E1">
            <w:pPr>
              <w:pStyle w:val="05Text"/>
              <w:spacing w:after="120"/>
              <w:rPr>
                <w:rFonts w:ascii="Open Sans" w:hAnsi="Open Sans" w:cs="Open Sans"/>
                <w:spacing w:val="-4"/>
                <w:sz w:val="22"/>
              </w:rPr>
            </w:pPr>
            <w:r>
              <w:rPr>
                <w:rFonts w:ascii="Open Sans" w:hAnsi="Open Sans" w:cs="Open Sans"/>
                <w:spacing w:val="-4"/>
                <w:sz w:val="22"/>
              </w:rPr>
              <w:t xml:space="preserve">Aim 1 is currently being pursued. </w:t>
            </w:r>
            <w:r w:rsidR="000168D5">
              <w:rPr>
                <w:rFonts w:ascii="Open Sans" w:hAnsi="Open Sans" w:cs="Open Sans"/>
                <w:spacing w:val="-4"/>
                <w:sz w:val="22"/>
              </w:rPr>
              <w:t xml:space="preserve">The goal is to knockdown </w:t>
            </w:r>
            <w:r w:rsidR="000168D5">
              <w:rPr>
                <w:rFonts w:ascii="Open Sans" w:hAnsi="Open Sans" w:cs="Open Sans"/>
                <w:i/>
                <w:spacing w:val="-4"/>
                <w:sz w:val="22"/>
              </w:rPr>
              <w:t xml:space="preserve">SETD2 </w:t>
            </w:r>
            <w:r w:rsidR="000168D5">
              <w:rPr>
                <w:rFonts w:ascii="Open Sans" w:hAnsi="Open Sans" w:cs="Open Sans"/>
                <w:spacing w:val="-4"/>
                <w:sz w:val="22"/>
              </w:rPr>
              <w:t xml:space="preserve">expression to ablate H3K36 tri-methylation activity in AML cells, and investigate possible synergism with DNA </w:t>
            </w:r>
            <w:r w:rsidR="000168D5">
              <w:rPr>
                <w:rFonts w:ascii="Open Sans" w:hAnsi="Open Sans" w:cs="Open Sans"/>
                <w:spacing w:val="-4"/>
                <w:sz w:val="22"/>
              </w:rPr>
              <w:lastRenderedPageBreak/>
              <w:t>demethylating agents. To this end, w</w:t>
            </w:r>
            <w:r>
              <w:rPr>
                <w:rFonts w:ascii="Open Sans" w:hAnsi="Open Sans" w:cs="Open Sans"/>
                <w:spacing w:val="-4"/>
                <w:sz w:val="22"/>
              </w:rPr>
              <w:t>e cloned and sequence-validated 3 independent knockdown-validated</w:t>
            </w:r>
            <w:r w:rsidR="000168D5">
              <w:rPr>
                <w:rFonts w:ascii="Open Sans" w:hAnsi="Open Sans" w:cs="Open Sans"/>
                <w:spacing w:val="-4"/>
                <w:sz w:val="22"/>
              </w:rPr>
              <w:t xml:space="preserve"> SETD2</w:t>
            </w:r>
            <w:r>
              <w:rPr>
                <w:rFonts w:ascii="Open Sans" w:hAnsi="Open Sans" w:cs="Open Sans"/>
                <w:spacing w:val="-4"/>
                <w:sz w:val="22"/>
              </w:rPr>
              <w:t xml:space="preserve"> shRNA from the MISSION siRNA database into our usual pLL3.7 lentiviral backbone (Arede et al, </w:t>
            </w:r>
            <w:r>
              <w:rPr>
                <w:rFonts w:ascii="Open Sans" w:hAnsi="Open Sans" w:cs="Open Sans"/>
                <w:i/>
                <w:spacing w:val="-4"/>
                <w:sz w:val="22"/>
              </w:rPr>
              <w:t>Blood Adv</w:t>
            </w:r>
            <w:r>
              <w:rPr>
                <w:rFonts w:ascii="Open Sans" w:hAnsi="Open Sans" w:cs="Open Sans"/>
                <w:spacing w:val="-4"/>
                <w:sz w:val="22"/>
              </w:rPr>
              <w:t xml:space="preserve"> 2022, </w:t>
            </w:r>
            <w:r w:rsidRPr="00A26A72">
              <w:rPr>
                <w:rFonts w:ascii="Open Sans" w:hAnsi="Open Sans" w:cs="Open Sans"/>
                <w:spacing w:val="-4"/>
                <w:sz w:val="22"/>
              </w:rPr>
              <w:t>10.1182/bloodadvances.2020002842</w:t>
            </w:r>
            <w:r>
              <w:rPr>
                <w:rFonts w:ascii="Open Sans" w:hAnsi="Open Sans" w:cs="Open Sans"/>
                <w:spacing w:val="-4"/>
                <w:sz w:val="22"/>
              </w:rPr>
              <w:t xml:space="preserve">). </w:t>
            </w:r>
            <w:r w:rsidR="000168D5">
              <w:rPr>
                <w:rFonts w:ascii="Open Sans" w:hAnsi="Open Sans" w:cs="Open Sans"/>
                <w:spacing w:val="-4"/>
                <w:sz w:val="22"/>
              </w:rPr>
              <w:t>In contrast with the non-targeting shRNA control-transduced cells, we failed to observe growth of SETD2sh-transduced MOLM-13 cells, suggesting a strong anti-leukaemia effect, in line with recent reports (</w:t>
            </w:r>
            <w:proofErr w:type="spellStart"/>
            <w:r w:rsidR="000168D5">
              <w:rPr>
                <w:rFonts w:ascii="Open Sans" w:hAnsi="Open Sans" w:cs="Open Sans"/>
                <w:spacing w:val="-4"/>
                <w:sz w:val="22"/>
              </w:rPr>
              <w:t>Skucha</w:t>
            </w:r>
            <w:proofErr w:type="spellEnd"/>
            <w:r w:rsidR="000168D5">
              <w:rPr>
                <w:rFonts w:ascii="Open Sans" w:hAnsi="Open Sans" w:cs="Open Sans"/>
                <w:spacing w:val="-4"/>
                <w:sz w:val="22"/>
              </w:rPr>
              <w:t xml:space="preserve"> et al, </w:t>
            </w:r>
            <w:r w:rsidR="000168D5">
              <w:rPr>
                <w:rFonts w:ascii="Open Sans" w:hAnsi="Open Sans" w:cs="Open Sans"/>
                <w:i/>
                <w:spacing w:val="-4"/>
                <w:sz w:val="22"/>
              </w:rPr>
              <w:t xml:space="preserve">Nat </w:t>
            </w:r>
            <w:proofErr w:type="spellStart"/>
            <w:r w:rsidR="000168D5">
              <w:rPr>
                <w:rFonts w:ascii="Open Sans" w:hAnsi="Open Sans" w:cs="Open Sans"/>
                <w:i/>
                <w:spacing w:val="-4"/>
                <w:sz w:val="22"/>
              </w:rPr>
              <w:t>Commun</w:t>
            </w:r>
            <w:proofErr w:type="spellEnd"/>
            <w:r w:rsidR="00E94984">
              <w:rPr>
                <w:rFonts w:ascii="Open Sans" w:hAnsi="Open Sans" w:cs="Open Sans"/>
                <w:spacing w:val="-4"/>
                <w:sz w:val="22"/>
              </w:rPr>
              <w:t xml:space="preserve"> 2018, </w:t>
            </w:r>
            <w:r w:rsidR="00E94984" w:rsidRPr="00E94984">
              <w:rPr>
                <w:rFonts w:ascii="Open Sans" w:hAnsi="Open Sans" w:cs="Open Sans"/>
                <w:spacing w:val="-4"/>
                <w:sz w:val="22"/>
              </w:rPr>
              <w:t>10.1038/s41467-018-04329-y</w:t>
            </w:r>
            <w:r w:rsidR="00E94984">
              <w:rPr>
                <w:rFonts w:ascii="Open Sans" w:hAnsi="Open Sans" w:cs="Open Sans"/>
                <w:spacing w:val="-4"/>
                <w:sz w:val="22"/>
              </w:rPr>
              <w:t>). However, we faced technical difficulties in recovering cells for demonstration of gene expression knockdown and loss of H3K36me3. We are currently pursuing an inducible knockdown approach and extending the panel of shRNA to obtain a more gradual ablation in which synergistic effects of histone and DNA methylation can be explored. This work is still on-going.</w:t>
            </w:r>
          </w:p>
          <w:p w14:paraId="00C0A52B" w14:textId="75D3E9F9" w:rsidR="009F17E1" w:rsidRPr="002C6387" w:rsidRDefault="009F17E1" w:rsidP="009F17E1">
            <w:pPr>
              <w:pStyle w:val="05Text"/>
              <w:spacing w:after="120"/>
              <w:rPr>
                <w:rFonts w:ascii="Open Sans" w:hAnsi="Open Sans" w:cs="Open Sans"/>
                <w:spacing w:val="-4"/>
                <w:sz w:val="22"/>
              </w:rPr>
            </w:pPr>
          </w:p>
        </w:tc>
      </w:tr>
      <w:tr w:rsidR="00401EFF" w14:paraId="19B85F03" w14:textId="77777777" w:rsidTr="009F17E1">
        <w:trPr>
          <w:cantSplit/>
        </w:trPr>
        <w:tc>
          <w:tcPr>
            <w:tcW w:w="9016" w:type="dxa"/>
          </w:tcPr>
          <w:p w14:paraId="3364DC77" w14:textId="77777777" w:rsidR="00401EFF" w:rsidRDefault="00401EFF" w:rsidP="009F2942">
            <w:pPr>
              <w:pStyle w:val="05Text"/>
              <w:numPr>
                <w:ilvl w:val="0"/>
                <w:numId w:val="2"/>
              </w:numPr>
              <w:spacing w:after="120"/>
              <w:ind w:left="886" w:hanging="526"/>
              <w:rPr>
                <w:rFonts w:ascii="Open Sans" w:hAnsi="Open Sans" w:cs="Open Sans"/>
                <w:b/>
                <w:spacing w:val="-4"/>
                <w:sz w:val="22"/>
              </w:rPr>
            </w:pPr>
            <w:r w:rsidRPr="00401EFF">
              <w:rPr>
                <w:rFonts w:ascii="Open Sans" w:hAnsi="Open Sans" w:cs="Open Sans"/>
                <w:b/>
                <w:spacing w:val="-4"/>
                <w:sz w:val="22"/>
              </w:rPr>
              <w:lastRenderedPageBreak/>
              <w:t>List published papers, oral and/or poster presentations as a result of this grant.</w:t>
            </w:r>
            <w:r w:rsidRPr="00401EFF">
              <w:rPr>
                <w:rFonts w:ascii="Open Sans" w:hAnsi="Open Sans" w:cs="Open Sans"/>
                <w:b/>
                <w:spacing w:val="-4"/>
                <w:sz w:val="22"/>
              </w:rPr>
              <w:br/>
              <w:t xml:space="preserve">Include manuscripts in preparation or in submission / under review, prefaced by an asterisk.  </w:t>
            </w:r>
          </w:p>
          <w:p w14:paraId="3F6A8EA2" w14:textId="77777777" w:rsidR="00401EFF" w:rsidRDefault="00401EFF" w:rsidP="009F2942">
            <w:pPr>
              <w:pStyle w:val="05Text"/>
              <w:spacing w:after="120"/>
              <w:ind w:left="886" w:hanging="526"/>
              <w:rPr>
                <w:rFonts w:ascii="Open Sans" w:hAnsi="Open Sans" w:cs="Open Sans"/>
                <w:b/>
                <w:spacing w:val="-4"/>
                <w:sz w:val="22"/>
              </w:rPr>
            </w:pPr>
          </w:p>
          <w:p w14:paraId="75EEA8AD" w14:textId="6B0D1D54" w:rsidR="00401EFF" w:rsidRPr="00E94984" w:rsidRDefault="00D508A9" w:rsidP="00E94984">
            <w:pPr>
              <w:pStyle w:val="05Text"/>
              <w:numPr>
                <w:ilvl w:val="0"/>
                <w:numId w:val="4"/>
              </w:numPr>
              <w:spacing w:after="120"/>
              <w:rPr>
                <w:rFonts w:ascii="Open Sans" w:hAnsi="Open Sans" w:cs="Open Sans"/>
                <w:spacing w:val="-4"/>
                <w:sz w:val="22"/>
              </w:rPr>
            </w:pPr>
            <w:r>
              <w:rPr>
                <w:rFonts w:ascii="Open Sans" w:hAnsi="Open Sans" w:cs="Open Sans"/>
                <w:spacing w:val="-4"/>
                <w:sz w:val="22"/>
              </w:rPr>
              <w:t>*</w:t>
            </w:r>
            <w:r w:rsidR="00E94984">
              <w:rPr>
                <w:rFonts w:ascii="Open Sans" w:hAnsi="Open Sans" w:cs="Open Sans"/>
                <w:spacing w:val="-4"/>
                <w:sz w:val="22"/>
              </w:rPr>
              <w:t>(in preparation)</w:t>
            </w:r>
            <w:r>
              <w:rPr>
                <w:rFonts w:ascii="Open Sans" w:hAnsi="Open Sans" w:cs="Open Sans"/>
                <w:spacing w:val="-4"/>
                <w:sz w:val="22"/>
              </w:rPr>
              <w:t xml:space="preserve">: </w:t>
            </w:r>
            <w:r w:rsidR="00E94984">
              <w:rPr>
                <w:rFonts w:ascii="Open Sans" w:hAnsi="Open Sans" w:cs="Open Sans"/>
                <w:spacing w:val="-4"/>
                <w:sz w:val="22"/>
              </w:rPr>
              <w:t xml:space="preserve">Zeka K, Taylor AV, Samarista RC, Suen C-W, Forte D, Ragusa D, Byrne C, </w:t>
            </w:r>
            <w:proofErr w:type="spellStart"/>
            <w:r w:rsidR="00E94984">
              <w:rPr>
                <w:rFonts w:ascii="Open Sans" w:hAnsi="Open Sans" w:cs="Open Sans"/>
                <w:spacing w:val="-4"/>
                <w:sz w:val="22"/>
              </w:rPr>
              <w:t>Meduri</w:t>
            </w:r>
            <w:proofErr w:type="spellEnd"/>
            <w:r w:rsidR="00E94984">
              <w:rPr>
                <w:rFonts w:ascii="Open Sans" w:hAnsi="Open Sans" w:cs="Open Sans"/>
                <w:spacing w:val="-4"/>
                <w:sz w:val="22"/>
              </w:rPr>
              <w:t xml:space="preserve"> E, Huntly BJ, Curti</w:t>
            </w:r>
            <w:r>
              <w:rPr>
                <w:rFonts w:ascii="Open Sans" w:hAnsi="Open Sans" w:cs="Open Sans"/>
                <w:spacing w:val="-4"/>
                <w:sz w:val="22"/>
              </w:rPr>
              <w:t xml:space="preserve"> A, Pina C, MAT2A contributes to AML maintenance through synergistic effects on DNA methylation and activation of the unfolded protein response.</w:t>
            </w:r>
          </w:p>
          <w:p w14:paraId="0EEA451B" w14:textId="26E1E6CF" w:rsidR="009F17E1" w:rsidRDefault="009F17E1" w:rsidP="009F17E1">
            <w:pPr>
              <w:pStyle w:val="05Text"/>
              <w:spacing w:after="120"/>
              <w:rPr>
                <w:rFonts w:ascii="Open Sans" w:hAnsi="Open Sans" w:cs="Open Sans"/>
                <w:b/>
                <w:spacing w:val="-4"/>
                <w:sz w:val="22"/>
              </w:rPr>
            </w:pPr>
          </w:p>
          <w:p w14:paraId="43605DFA" w14:textId="77777777" w:rsidR="009F17E1" w:rsidRDefault="009F17E1" w:rsidP="009F17E1">
            <w:pPr>
              <w:pStyle w:val="05Text"/>
              <w:spacing w:after="120"/>
              <w:rPr>
                <w:rFonts w:ascii="Open Sans" w:hAnsi="Open Sans" w:cs="Open Sans"/>
                <w:b/>
                <w:spacing w:val="-4"/>
                <w:sz w:val="22"/>
              </w:rPr>
            </w:pPr>
          </w:p>
          <w:p w14:paraId="60C2515E" w14:textId="77777777" w:rsidR="00401EFF" w:rsidRPr="00401EFF" w:rsidRDefault="00401EFF" w:rsidP="009F2942">
            <w:pPr>
              <w:pStyle w:val="05Text"/>
              <w:spacing w:after="120"/>
              <w:ind w:left="886" w:hanging="526"/>
              <w:rPr>
                <w:rFonts w:ascii="Open Sans" w:hAnsi="Open Sans" w:cs="Open Sans"/>
                <w:b/>
                <w:spacing w:val="-4"/>
                <w:sz w:val="22"/>
              </w:rPr>
            </w:pPr>
          </w:p>
        </w:tc>
      </w:tr>
      <w:tr w:rsidR="00401EFF" w14:paraId="39002A04" w14:textId="77777777" w:rsidTr="009F17E1">
        <w:trPr>
          <w:cantSplit/>
        </w:trPr>
        <w:tc>
          <w:tcPr>
            <w:tcW w:w="9016" w:type="dxa"/>
          </w:tcPr>
          <w:p w14:paraId="5121C417" w14:textId="51ECE29B" w:rsidR="00401EFF" w:rsidRPr="00401EFF" w:rsidRDefault="00401EFF" w:rsidP="009F2942">
            <w:pPr>
              <w:pStyle w:val="05Text"/>
              <w:numPr>
                <w:ilvl w:val="0"/>
                <w:numId w:val="2"/>
              </w:numPr>
              <w:spacing w:after="120"/>
              <w:ind w:left="886" w:hanging="526"/>
              <w:rPr>
                <w:rFonts w:ascii="Open Sans" w:hAnsi="Open Sans" w:cs="Open Sans"/>
                <w:b/>
                <w:spacing w:val="-4"/>
                <w:sz w:val="22"/>
              </w:rPr>
            </w:pPr>
            <w:r w:rsidRPr="00401EFF">
              <w:rPr>
                <w:rFonts w:ascii="Open Sans" w:hAnsi="Open Sans" w:cs="Open Sans"/>
                <w:b/>
                <w:spacing w:val="-4"/>
                <w:sz w:val="22"/>
              </w:rPr>
              <w:t>Did any patent applications arise from this work?</w:t>
            </w:r>
            <w:r w:rsidR="002C6387">
              <w:rPr>
                <w:rFonts w:ascii="Open Sans" w:hAnsi="Open Sans" w:cs="Open Sans"/>
                <w:b/>
                <w:spacing w:val="-4"/>
                <w:sz w:val="22"/>
              </w:rPr>
              <w:t xml:space="preserve"> (If yes, please detail. </w:t>
            </w:r>
            <w:r w:rsidR="00C50F23">
              <w:rPr>
                <w:rFonts w:ascii="Open Sans" w:hAnsi="Open Sans" w:cs="Open Sans"/>
                <w:b/>
                <w:spacing w:val="-4"/>
                <w:sz w:val="22"/>
              </w:rPr>
              <w:t>Up to</w:t>
            </w:r>
            <w:r w:rsidR="002C6387">
              <w:rPr>
                <w:rFonts w:ascii="Open Sans" w:hAnsi="Open Sans" w:cs="Open Sans"/>
                <w:b/>
                <w:spacing w:val="-4"/>
                <w:sz w:val="22"/>
              </w:rPr>
              <w:t xml:space="preserve"> 200 words)</w:t>
            </w:r>
          </w:p>
          <w:p w14:paraId="11687DB4" w14:textId="16F5EB5E" w:rsidR="00401EFF" w:rsidRDefault="00477763" w:rsidP="009F2942">
            <w:pPr>
              <w:pStyle w:val="05Text"/>
              <w:spacing w:after="120"/>
              <w:ind w:left="886" w:hanging="526"/>
              <w:rPr>
                <w:rFonts w:ascii="Open Sans" w:hAnsi="Open Sans" w:cs="Open Sans"/>
                <w:spacing w:val="-4"/>
                <w:sz w:val="22"/>
              </w:rPr>
            </w:pPr>
            <w:r>
              <w:rPr>
                <w:rFonts w:ascii="Open Sans" w:hAnsi="Open Sans" w:cs="Open Sans"/>
                <w:spacing w:val="-4"/>
                <w:sz w:val="22"/>
              </w:rPr>
              <w:t>No patent applications.</w:t>
            </w:r>
          </w:p>
          <w:p w14:paraId="719A72FA" w14:textId="6302244C" w:rsidR="009F17E1" w:rsidRDefault="009F17E1" w:rsidP="009F2942">
            <w:pPr>
              <w:pStyle w:val="05Text"/>
              <w:spacing w:after="120"/>
              <w:ind w:left="886" w:hanging="526"/>
              <w:rPr>
                <w:rFonts w:ascii="Open Sans" w:hAnsi="Open Sans" w:cs="Open Sans"/>
                <w:spacing w:val="-4"/>
                <w:sz w:val="22"/>
              </w:rPr>
            </w:pPr>
          </w:p>
          <w:p w14:paraId="643767B3" w14:textId="77777777" w:rsidR="009F17E1" w:rsidRDefault="009F17E1" w:rsidP="009F2942">
            <w:pPr>
              <w:pStyle w:val="05Text"/>
              <w:spacing w:after="120"/>
              <w:ind w:left="886" w:hanging="526"/>
              <w:rPr>
                <w:rFonts w:ascii="Open Sans" w:hAnsi="Open Sans" w:cs="Open Sans"/>
                <w:spacing w:val="-4"/>
                <w:sz w:val="22"/>
              </w:rPr>
            </w:pPr>
          </w:p>
          <w:p w14:paraId="3F5B01DC" w14:textId="77777777" w:rsidR="009F17E1" w:rsidRDefault="009F17E1" w:rsidP="009F2942">
            <w:pPr>
              <w:pStyle w:val="05Text"/>
              <w:spacing w:after="120"/>
              <w:ind w:left="886" w:hanging="526"/>
              <w:rPr>
                <w:rFonts w:ascii="Open Sans" w:hAnsi="Open Sans" w:cs="Open Sans"/>
                <w:spacing w:val="-4"/>
                <w:sz w:val="22"/>
              </w:rPr>
            </w:pPr>
          </w:p>
          <w:p w14:paraId="176C8392" w14:textId="4D39D988" w:rsidR="009F17E1" w:rsidRDefault="009F17E1" w:rsidP="009F2942">
            <w:pPr>
              <w:pStyle w:val="05Text"/>
              <w:spacing w:after="120"/>
              <w:ind w:left="886" w:hanging="526"/>
              <w:rPr>
                <w:rFonts w:ascii="Open Sans" w:hAnsi="Open Sans" w:cs="Open Sans"/>
                <w:spacing w:val="-4"/>
                <w:sz w:val="22"/>
              </w:rPr>
            </w:pPr>
          </w:p>
        </w:tc>
      </w:tr>
      <w:tr w:rsidR="00401EFF" w14:paraId="6102F11F" w14:textId="77777777" w:rsidTr="009F17E1">
        <w:trPr>
          <w:cantSplit/>
        </w:trPr>
        <w:tc>
          <w:tcPr>
            <w:tcW w:w="9016" w:type="dxa"/>
          </w:tcPr>
          <w:p w14:paraId="5658BB36" w14:textId="244B2D02" w:rsidR="00401EFF" w:rsidRPr="00401EFF" w:rsidRDefault="00401EFF" w:rsidP="009F2942">
            <w:pPr>
              <w:pStyle w:val="05Text"/>
              <w:numPr>
                <w:ilvl w:val="0"/>
                <w:numId w:val="2"/>
              </w:numPr>
              <w:spacing w:after="120"/>
              <w:ind w:left="886" w:hanging="526"/>
              <w:rPr>
                <w:rFonts w:ascii="Open Sans" w:hAnsi="Open Sans" w:cs="Open Sans"/>
                <w:b/>
                <w:spacing w:val="-4"/>
                <w:sz w:val="22"/>
              </w:rPr>
            </w:pPr>
            <w:r w:rsidRPr="00401EFF">
              <w:rPr>
                <w:rFonts w:ascii="Open Sans" w:hAnsi="Open Sans" w:cs="Open Sans"/>
                <w:b/>
                <w:spacing w:val="-4"/>
                <w:sz w:val="22"/>
              </w:rPr>
              <w:lastRenderedPageBreak/>
              <w:t>Were you successful in any further grant applications as a result of this work?</w:t>
            </w:r>
            <w:r w:rsidR="002C6387">
              <w:rPr>
                <w:rFonts w:ascii="Open Sans" w:hAnsi="Open Sans" w:cs="Open Sans"/>
                <w:b/>
                <w:spacing w:val="-4"/>
                <w:sz w:val="22"/>
              </w:rPr>
              <w:t xml:space="preserve"> (If yes, please detail. </w:t>
            </w:r>
            <w:r w:rsidR="00C50F23">
              <w:rPr>
                <w:rFonts w:ascii="Open Sans" w:hAnsi="Open Sans" w:cs="Open Sans"/>
                <w:b/>
                <w:spacing w:val="-4"/>
                <w:sz w:val="22"/>
              </w:rPr>
              <w:t>Up to</w:t>
            </w:r>
            <w:r w:rsidR="002C6387">
              <w:rPr>
                <w:rFonts w:ascii="Open Sans" w:hAnsi="Open Sans" w:cs="Open Sans"/>
                <w:b/>
                <w:spacing w:val="-4"/>
                <w:sz w:val="22"/>
              </w:rPr>
              <w:t xml:space="preserve"> 200 words)</w:t>
            </w:r>
          </w:p>
          <w:p w14:paraId="74846654" w14:textId="104294D2" w:rsidR="00401EFF" w:rsidRDefault="00527C63" w:rsidP="009F2942">
            <w:pPr>
              <w:pStyle w:val="05Text"/>
              <w:spacing w:after="120"/>
              <w:ind w:left="886" w:hanging="526"/>
              <w:rPr>
                <w:rFonts w:ascii="Open Sans" w:hAnsi="Open Sans" w:cs="Open Sans"/>
                <w:spacing w:val="-4"/>
                <w:sz w:val="22"/>
              </w:rPr>
            </w:pPr>
            <w:r>
              <w:rPr>
                <w:rFonts w:ascii="Open Sans" w:hAnsi="Open Sans" w:cs="Open Sans"/>
                <w:spacing w:val="-4"/>
                <w:sz w:val="22"/>
              </w:rPr>
              <w:t xml:space="preserve">I plan to submit grant applications for analysis of the combined effects of DNA demethylating agents and p97 inhibition in patient samples from the last quarter of 2022, upon submission of the manuscript currently in preparation and its deposition in </w:t>
            </w:r>
            <w:proofErr w:type="spellStart"/>
            <w:r w:rsidRPr="00527C63">
              <w:rPr>
                <w:rFonts w:ascii="Open Sans" w:hAnsi="Open Sans" w:cs="Open Sans"/>
                <w:i/>
                <w:spacing w:val="-4"/>
                <w:sz w:val="22"/>
              </w:rPr>
              <w:t>biorXiv</w:t>
            </w:r>
            <w:proofErr w:type="spellEnd"/>
            <w:r>
              <w:rPr>
                <w:rFonts w:ascii="Open Sans" w:hAnsi="Open Sans" w:cs="Open Sans"/>
                <w:spacing w:val="-4"/>
                <w:sz w:val="22"/>
              </w:rPr>
              <w:t xml:space="preserve"> as a pre-print.</w:t>
            </w:r>
          </w:p>
          <w:p w14:paraId="056CD0F9" w14:textId="64AFE092" w:rsidR="009F17E1" w:rsidRDefault="00E16B56" w:rsidP="003F6E96">
            <w:pPr>
              <w:pStyle w:val="05Text"/>
              <w:spacing w:after="120"/>
              <w:ind w:left="886" w:hanging="526"/>
              <w:rPr>
                <w:rFonts w:ascii="Open Sans" w:hAnsi="Open Sans" w:cs="Open Sans"/>
                <w:b/>
                <w:spacing w:val="-4"/>
                <w:sz w:val="22"/>
              </w:rPr>
            </w:pPr>
            <w:r>
              <w:rPr>
                <w:rFonts w:ascii="Open Sans" w:hAnsi="Open Sans" w:cs="Open Sans"/>
                <w:spacing w:val="-4"/>
                <w:sz w:val="22"/>
              </w:rPr>
              <w:t>As detailed, BSH funding enabled me to maintain research activity throughout the CoVID-19 Pandemic despite prolonged lab closures (March-September 2020), reduced lab occupancy (September 2020 – September 2021), and periods of shortage in lab supplies (September 2020 – June 2021). Continued results were critical in the leadership of a successful funding application to the Wolfson Foundation (£155,000, granted 01/2022) for the establishment of the Phenotyping and Cell Sorting Laboratory, specifically the acquisition of a cell sorter currently going</w:t>
            </w:r>
            <w:r w:rsidR="003F6E96">
              <w:rPr>
                <w:rFonts w:ascii="Open Sans" w:hAnsi="Open Sans" w:cs="Open Sans"/>
                <w:spacing w:val="-4"/>
                <w:sz w:val="22"/>
              </w:rPr>
              <w:t xml:space="preserve"> into tender.</w:t>
            </w:r>
          </w:p>
          <w:p w14:paraId="2512E5B4" w14:textId="5C35B711" w:rsidR="009F17E1" w:rsidRPr="00401EFF" w:rsidRDefault="009F17E1" w:rsidP="009F17E1">
            <w:pPr>
              <w:pStyle w:val="05Text"/>
              <w:spacing w:after="120"/>
              <w:rPr>
                <w:rFonts w:ascii="Open Sans" w:hAnsi="Open Sans" w:cs="Open Sans"/>
                <w:b/>
                <w:spacing w:val="-4"/>
                <w:sz w:val="22"/>
              </w:rPr>
            </w:pPr>
          </w:p>
        </w:tc>
      </w:tr>
      <w:tr w:rsidR="00401EFF" w14:paraId="0E27850D" w14:textId="77777777" w:rsidTr="009F17E1">
        <w:trPr>
          <w:cantSplit/>
        </w:trPr>
        <w:tc>
          <w:tcPr>
            <w:tcW w:w="9016" w:type="dxa"/>
          </w:tcPr>
          <w:p w14:paraId="27395A5A" w14:textId="4225779C" w:rsidR="009F17E1" w:rsidRDefault="00401EFF" w:rsidP="009F17E1">
            <w:pPr>
              <w:pStyle w:val="05Text"/>
              <w:numPr>
                <w:ilvl w:val="0"/>
                <w:numId w:val="2"/>
              </w:numPr>
              <w:spacing w:after="120"/>
              <w:ind w:left="886" w:hanging="526"/>
              <w:rPr>
                <w:rFonts w:ascii="Open Sans" w:hAnsi="Open Sans" w:cs="Open Sans"/>
                <w:b/>
                <w:spacing w:val="-4"/>
                <w:sz w:val="22"/>
              </w:rPr>
            </w:pPr>
            <w:r w:rsidRPr="00401EFF">
              <w:rPr>
                <w:rFonts w:ascii="Open Sans" w:hAnsi="Open Sans" w:cs="Open Sans"/>
                <w:b/>
                <w:spacing w:val="-4"/>
                <w:sz w:val="22"/>
              </w:rPr>
              <w:t>Did new collaborations arise from this work?</w:t>
            </w:r>
            <w:r w:rsidR="002C6387">
              <w:rPr>
                <w:rFonts w:ascii="Open Sans" w:hAnsi="Open Sans" w:cs="Open Sans"/>
                <w:b/>
                <w:spacing w:val="-4"/>
                <w:sz w:val="22"/>
              </w:rPr>
              <w:t xml:space="preserve"> (If yes, please detail. </w:t>
            </w:r>
            <w:r w:rsidR="00C50F23">
              <w:rPr>
                <w:rFonts w:ascii="Open Sans" w:hAnsi="Open Sans" w:cs="Open Sans"/>
                <w:b/>
                <w:spacing w:val="-4"/>
                <w:sz w:val="22"/>
              </w:rPr>
              <w:t>Up to</w:t>
            </w:r>
            <w:r w:rsidR="002C6387">
              <w:rPr>
                <w:rFonts w:ascii="Open Sans" w:hAnsi="Open Sans" w:cs="Open Sans"/>
                <w:b/>
                <w:spacing w:val="-4"/>
                <w:sz w:val="22"/>
              </w:rPr>
              <w:t xml:space="preserve"> 400 words)</w:t>
            </w:r>
          </w:p>
          <w:p w14:paraId="48B2A115" w14:textId="1A5C6D31" w:rsidR="00A85FFF" w:rsidRDefault="00527C63" w:rsidP="00A85FFF">
            <w:pPr>
              <w:pStyle w:val="05Text"/>
              <w:spacing w:after="120"/>
              <w:ind w:left="360"/>
              <w:rPr>
                <w:rFonts w:ascii="Open Sans" w:hAnsi="Open Sans" w:cs="Open Sans"/>
                <w:spacing w:val="-4"/>
                <w:sz w:val="22"/>
              </w:rPr>
            </w:pPr>
            <w:r>
              <w:rPr>
                <w:rFonts w:ascii="Open Sans" w:hAnsi="Open Sans" w:cs="Open Sans"/>
                <w:spacing w:val="-4"/>
                <w:sz w:val="22"/>
              </w:rPr>
              <w:t xml:space="preserve">I established a collaboration with Dr Annabelle Lewis, a new Lecturer in </w:t>
            </w:r>
            <w:r w:rsidR="007E0F03">
              <w:rPr>
                <w:rFonts w:ascii="Open Sans" w:hAnsi="Open Sans" w:cs="Open Sans"/>
                <w:spacing w:val="-4"/>
                <w:sz w:val="22"/>
              </w:rPr>
              <w:t xml:space="preserve">Biomedical Sciences also at Brunel University London, who has a background in fundamental analysis of DNA methylation in development and cancer. We are analysing DNA methylation effects of DNA demethylating agents and p97 inhibition on the promoters of UPR genes, using targeted </w:t>
            </w:r>
            <w:proofErr w:type="spellStart"/>
            <w:r w:rsidR="007E0F03">
              <w:rPr>
                <w:rFonts w:ascii="Open Sans" w:hAnsi="Open Sans" w:cs="Open Sans"/>
                <w:spacing w:val="-4"/>
                <w:sz w:val="22"/>
              </w:rPr>
              <w:t>bisufite</w:t>
            </w:r>
            <w:proofErr w:type="spellEnd"/>
            <w:r w:rsidR="007E0F03">
              <w:rPr>
                <w:rFonts w:ascii="Open Sans" w:hAnsi="Open Sans" w:cs="Open Sans"/>
                <w:spacing w:val="-4"/>
                <w:sz w:val="22"/>
              </w:rPr>
              <w:t xml:space="preserve"> sequencing. Specifically, we are optimising a PCR approach that can be used in patient samples and may be tested to predict synergistic effects of the compounds.</w:t>
            </w:r>
          </w:p>
          <w:p w14:paraId="6AEA8467" w14:textId="3E7CB3D4" w:rsidR="009F17E1" w:rsidRPr="00401EFF" w:rsidRDefault="00A85FFF" w:rsidP="003F6E96">
            <w:pPr>
              <w:pStyle w:val="05Text"/>
              <w:spacing w:after="120"/>
              <w:ind w:left="360"/>
              <w:rPr>
                <w:rFonts w:ascii="Open Sans" w:hAnsi="Open Sans" w:cs="Open Sans"/>
                <w:b/>
                <w:spacing w:val="-4"/>
                <w:sz w:val="22"/>
              </w:rPr>
            </w:pPr>
            <w:r>
              <w:rPr>
                <w:rFonts w:ascii="Open Sans" w:hAnsi="Open Sans" w:cs="Open Sans"/>
                <w:spacing w:val="-4"/>
                <w:sz w:val="22"/>
              </w:rPr>
              <w:t xml:space="preserve">I am currently in the process of establishing collaborations with </w:t>
            </w:r>
            <w:r w:rsidR="003F6E96">
              <w:rPr>
                <w:rFonts w:ascii="Open Sans" w:hAnsi="Open Sans" w:cs="Open Sans"/>
                <w:spacing w:val="-4"/>
                <w:sz w:val="22"/>
              </w:rPr>
              <w:t>C</w:t>
            </w:r>
            <w:r>
              <w:rPr>
                <w:rFonts w:ascii="Open Sans" w:hAnsi="Open Sans" w:cs="Open Sans"/>
                <w:spacing w:val="-4"/>
                <w:sz w:val="22"/>
              </w:rPr>
              <w:t>linicians involved with the newly-established Brunel Medical School for access to patient samples, and future clinical studies.</w:t>
            </w:r>
          </w:p>
          <w:p w14:paraId="3233F415" w14:textId="77777777" w:rsidR="00401EFF" w:rsidRPr="00401EFF" w:rsidRDefault="00401EFF" w:rsidP="009F2942">
            <w:pPr>
              <w:pStyle w:val="05Text"/>
              <w:spacing w:after="120"/>
              <w:ind w:left="886" w:hanging="526"/>
              <w:rPr>
                <w:rFonts w:ascii="Open Sans" w:hAnsi="Open Sans" w:cs="Open Sans"/>
                <w:b/>
                <w:spacing w:val="-4"/>
                <w:sz w:val="22"/>
              </w:rPr>
            </w:pPr>
          </w:p>
        </w:tc>
      </w:tr>
      <w:tr w:rsidR="00401EFF" w14:paraId="27C65F79" w14:textId="77777777" w:rsidTr="009F17E1">
        <w:trPr>
          <w:cantSplit/>
        </w:trPr>
        <w:tc>
          <w:tcPr>
            <w:tcW w:w="9016" w:type="dxa"/>
          </w:tcPr>
          <w:p w14:paraId="1D27F8C6" w14:textId="789F3344" w:rsidR="002C6387" w:rsidRPr="002C6387" w:rsidRDefault="002C6387" w:rsidP="009F2942">
            <w:pPr>
              <w:pStyle w:val="05Text"/>
              <w:numPr>
                <w:ilvl w:val="0"/>
                <w:numId w:val="2"/>
              </w:numPr>
              <w:spacing w:after="120"/>
              <w:ind w:left="886" w:hanging="526"/>
              <w:rPr>
                <w:rFonts w:ascii="Open Sans" w:hAnsi="Open Sans" w:cs="Open Sans"/>
                <w:b/>
                <w:spacing w:val="-4"/>
                <w:sz w:val="22"/>
              </w:rPr>
            </w:pPr>
            <w:r w:rsidRPr="002C6387">
              <w:rPr>
                <w:rFonts w:ascii="Open Sans" w:hAnsi="Open Sans" w:cs="Open Sans"/>
                <w:b/>
                <w:spacing w:val="-4"/>
                <w:sz w:val="22"/>
              </w:rPr>
              <w:lastRenderedPageBreak/>
              <w:t>What was the funding amount you received and how was it actually spent?</w:t>
            </w:r>
            <w:r w:rsidR="008A4CC9">
              <w:rPr>
                <w:rFonts w:ascii="Open Sans" w:hAnsi="Open Sans" w:cs="Open Sans"/>
                <w:b/>
                <w:spacing w:val="-4"/>
                <w:sz w:val="22"/>
              </w:rPr>
              <w:t xml:space="preserve"> </w:t>
            </w:r>
            <w:r w:rsidR="008A4CC9" w:rsidRPr="002C6387">
              <w:rPr>
                <w:rFonts w:ascii="Open Sans" w:hAnsi="Open Sans" w:cs="Open Sans"/>
                <w:b/>
                <w:spacing w:val="-4"/>
                <w:sz w:val="22"/>
              </w:rPr>
              <w:t xml:space="preserve">(detail item/activity and amount spent in </w:t>
            </w:r>
            <w:r w:rsidR="008A4CC9">
              <w:rPr>
                <w:rFonts w:ascii="Open Sans" w:hAnsi="Open Sans" w:cs="Open Sans"/>
                <w:b/>
                <w:spacing w:val="-4"/>
                <w:sz w:val="22"/>
              </w:rPr>
              <w:t>pounds</w:t>
            </w:r>
            <w:r w:rsidR="008A4CC9" w:rsidRPr="002C6387">
              <w:rPr>
                <w:rFonts w:ascii="Open Sans" w:hAnsi="Open Sans" w:cs="Open Sans"/>
                <w:b/>
                <w:spacing w:val="-4"/>
                <w:sz w:val="22"/>
              </w:rPr>
              <w:t>)</w:t>
            </w:r>
          </w:p>
          <w:p w14:paraId="217F8E7C" w14:textId="27EE3854" w:rsidR="002C6387" w:rsidRDefault="002C6387" w:rsidP="009F2942">
            <w:pPr>
              <w:pStyle w:val="05Text"/>
              <w:spacing w:after="120"/>
              <w:ind w:left="886" w:hanging="526"/>
              <w:rPr>
                <w:rFonts w:ascii="Open Sans" w:hAnsi="Open Sans" w:cs="Open Sans"/>
                <w:b/>
                <w:spacing w:val="-4"/>
                <w:sz w:val="22"/>
              </w:rPr>
            </w:pPr>
          </w:p>
          <w:p w14:paraId="78F3C521" w14:textId="37DC0AE4" w:rsidR="007558B8" w:rsidRPr="00736ECF" w:rsidRDefault="007558B8" w:rsidP="009F2942">
            <w:pPr>
              <w:pStyle w:val="05Text"/>
              <w:spacing w:after="120"/>
              <w:ind w:left="886" w:hanging="526"/>
              <w:rPr>
                <w:rFonts w:ascii="Open Sans" w:hAnsi="Open Sans" w:cs="Open Sans"/>
                <w:spacing w:val="-4"/>
                <w:sz w:val="22"/>
              </w:rPr>
            </w:pPr>
            <w:r w:rsidRPr="00736ECF">
              <w:rPr>
                <w:rFonts w:ascii="Open Sans" w:hAnsi="Open Sans" w:cs="Open Sans"/>
                <w:spacing w:val="-4"/>
                <w:sz w:val="22"/>
              </w:rPr>
              <w:t>Awarded Amount - £15,000.00</w:t>
            </w:r>
          </w:p>
          <w:p w14:paraId="0F9A937D" w14:textId="696B5406" w:rsidR="00736ECF" w:rsidRPr="00736ECF" w:rsidRDefault="00736ECF" w:rsidP="009F2942">
            <w:pPr>
              <w:pStyle w:val="05Text"/>
              <w:spacing w:after="120"/>
              <w:ind w:left="886" w:hanging="526"/>
              <w:rPr>
                <w:rFonts w:ascii="Open Sans" w:hAnsi="Open Sans" w:cs="Open Sans"/>
                <w:spacing w:val="-4"/>
                <w:sz w:val="22"/>
              </w:rPr>
            </w:pPr>
            <w:r w:rsidRPr="00736ECF">
              <w:rPr>
                <w:rFonts w:ascii="Open Sans" w:hAnsi="Open Sans" w:cs="Open Sans"/>
                <w:spacing w:val="-4"/>
                <w:sz w:val="22"/>
              </w:rPr>
              <w:t>Amount Received - £0.00</w:t>
            </w:r>
          </w:p>
          <w:p w14:paraId="3589FA9F" w14:textId="1E7480A4" w:rsidR="002C6387" w:rsidRPr="00736ECF" w:rsidRDefault="007558B8" w:rsidP="009F2942">
            <w:pPr>
              <w:pStyle w:val="05Text"/>
              <w:spacing w:after="120"/>
              <w:ind w:left="886" w:hanging="526"/>
              <w:rPr>
                <w:rFonts w:ascii="Open Sans" w:hAnsi="Open Sans" w:cs="Open Sans"/>
                <w:spacing w:val="-4"/>
                <w:sz w:val="22"/>
              </w:rPr>
            </w:pPr>
            <w:r w:rsidRPr="00736ECF">
              <w:rPr>
                <w:rFonts w:ascii="Open Sans" w:hAnsi="Open Sans" w:cs="Open Sans"/>
                <w:spacing w:val="-4"/>
                <w:sz w:val="22"/>
              </w:rPr>
              <w:t>Amount Spent - £14,846.05</w:t>
            </w:r>
          </w:p>
          <w:p w14:paraId="234F9FB5" w14:textId="08CD0DD4" w:rsidR="009F17E1" w:rsidRPr="00736ECF" w:rsidRDefault="00736ECF" w:rsidP="009F2942">
            <w:pPr>
              <w:pStyle w:val="05Text"/>
              <w:spacing w:after="120"/>
              <w:ind w:left="886" w:hanging="526"/>
              <w:rPr>
                <w:rFonts w:ascii="Open Sans" w:hAnsi="Open Sans" w:cs="Open Sans"/>
                <w:spacing w:val="-4"/>
                <w:sz w:val="22"/>
              </w:rPr>
            </w:pPr>
            <w:r>
              <w:rPr>
                <w:rFonts w:ascii="Open Sans" w:hAnsi="Open Sans" w:cs="Open Sans"/>
                <w:spacing w:val="-4"/>
                <w:sz w:val="22"/>
              </w:rPr>
              <w:t xml:space="preserve">          </w:t>
            </w:r>
            <w:r w:rsidRPr="00736ECF">
              <w:rPr>
                <w:rFonts w:ascii="Open Sans" w:hAnsi="Open Sans" w:cs="Open Sans"/>
                <w:spacing w:val="-4"/>
                <w:sz w:val="22"/>
              </w:rPr>
              <w:t>Laboratory Supplies / Consumables / Chemicals and Gases - £10,439.05</w:t>
            </w:r>
          </w:p>
          <w:p w14:paraId="057E1ED5" w14:textId="4F4268F8" w:rsidR="009F17E1" w:rsidRDefault="00736ECF" w:rsidP="009F2942">
            <w:pPr>
              <w:pStyle w:val="05Text"/>
              <w:spacing w:after="120"/>
              <w:ind w:left="886" w:hanging="526"/>
              <w:rPr>
                <w:rFonts w:ascii="Open Sans" w:hAnsi="Open Sans" w:cs="Open Sans"/>
                <w:spacing w:val="-4"/>
                <w:sz w:val="22"/>
              </w:rPr>
            </w:pPr>
            <w:r>
              <w:rPr>
                <w:rFonts w:ascii="Open Sans" w:hAnsi="Open Sans" w:cs="Open Sans"/>
                <w:spacing w:val="-4"/>
                <w:sz w:val="22"/>
              </w:rPr>
              <w:t xml:space="preserve">          </w:t>
            </w:r>
            <w:r w:rsidRPr="00736ECF">
              <w:rPr>
                <w:rFonts w:ascii="Open Sans" w:hAnsi="Open Sans" w:cs="Open Sans"/>
                <w:spacing w:val="-4"/>
                <w:sz w:val="22"/>
              </w:rPr>
              <w:t>Studentship Tuition Fees - £4,407.00</w:t>
            </w:r>
          </w:p>
          <w:p w14:paraId="279EF4A8" w14:textId="5F03D86F" w:rsidR="00736ECF" w:rsidRPr="00736ECF" w:rsidRDefault="00736ECF" w:rsidP="009F2942">
            <w:pPr>
              <w:pStyle w:val="05Text"/>
              <w:spacing w:after="120"/>
              <w:ind w:left="886" w:hanging="526"/>
              <w:rPr>
                <w:rFonts w:ascii="Open Sans" w:hAnsi="Open Sans" w:cs="Open Sans"/>
                <w:spacing w:val="-4"/>
                <w:sz w:val="22"/>
              </w:rPr>
            </w:pPr>
            <w:r>
              <w:rPr>
                <w:rFonts w:ascii="Open Sans" w:hAnsi="Open Sans" w:cs="Open Sans"/>
                <w:spacing w:val="-4"/>
                <w:sz w:val="22"/>
              </w:rPr>
              <w:t>Please see attached Excel Spreadsheet for detailed analysis of spend.</w:t>
            </w:r>
          </w:p>
          <w:p w14:paraId="1CF2C042" w14:textId="77777777" w:rsidR="002C6387" w:rsidRPr="00401EFF" w:rsidRDefault="002C6387" w:rsidP="00736ECF">
            <w:pPr>
              <w:pStyle w:val="05Text"/>
              <w:spacing w:after="120"/>
              <w:rPr>
                <w:rFonts w:ascii="Open Sans" w:hAnsi="Open Sans" w:cs="Open Sans"/>
                <w:b/>
                <w:spacing w:val="-4"/>
                <w:sz w:val="22"/>
              </w:rPr>
            </w:pPr>
          </w:p>
        </w:tc>
      </w:tr>
      <w:tr w:rsidR="002C6387" w14:paraId="76E1168F" w14:textId="77777777" w:rsidTr="009F17E1">
        <w:trPr>
          <w:cantSplit/>
        </w:trPr>
        <w:tc>
          <w:tcPr>
            <w:tcW w:w="9016" w:type="dxa"/>
          </w:tcPr>
          <w:p w14:paraId="004960FB" w14:textId="77777777" w:rsidR="002C6387" w:rsidRPr="002C6387" w:rsidRDefault="002C6387" w:rsidP="009F2942">
            <w:pPr>
              <w:pStyle w:val="ListParagraph"/>
              <w:numPr>
                <w:ilvl w:val="0"/>
                <w:numId w:val="2"/>
              </w:numPr>
              <w:ind w:left="886" w:hanging="526"/>
              <w:rPr>
                <w:rFonts w:ascii="Open Sans" w:eastAsia="Times New Roman" w:hAnsi="Open Sans" w:cs="Open Sans"/>
                <w:b/>
                <w:spacing w:val="-4"/>
                <w:kern w:val="26"/>
              </w:rPr>
            </w:pPr>
            <w:r w:rsidRPr="002C6387">
              <w:rPr>
                <w:rFonts w:ascii="Open Sans" w:eastAsia="Times New Roman" w:hAnsi="Open Sans" w:cs="Open Sans"/>
                <w:b/>
                <w:spacing w:val="-4"/>
                <w:kern w:val="26"/>
              </w:rPr>
              <w:t>What are the future research priorities in this area?</w:t>
            </w:r>
          </w:p>
          <w:p w14:paraId="68A94FBA" w14:textId="77777777" w:rsidR="002C6387" w:rsidRDefault="002C6387" w:rsidP="009F2942">
            <w:pPr>
              <w:pStyle w:val="05Text"/>
              <w:spacing w:after="120"/>
              <w:ind w:left="886" w:hanging="526"/>
              <w:rPr>
                <w:rFonts w:ascii="Open Sans" w:hAnsi="Open Sans" w:cs="Open Sans"/>
                <w:b/>
                <w:spacing w:val="-4"/>
                <w:sz w:val="22"/>
              </w:rPr>
            </w:pPr>
          </w:p>
          <w:p w14:paraId="274CD5EA" w14:textId="6BFC3251" w:rsidR="009F17E1" w:rsidRDefault="007E0F03" w:rsidP="009F2942">
            <w:pPr>
              <w:pStyle w:val="05Text"/>
              <w:spacing w:after="120"/>
              <w:ind w:left="886" w:hanging="526"/>
              <w:rPr>
                <w:rFonts w:ascii="Open Sans" w:hAnsi="Open Sans" w:cs="Open Sans"/>
                <w:b/>
                <w:spacing w:val="-4"/>
                <w:sz w:val="22"/>
              </w:rPr>
            </w:pPr>
            <w:r>
              <w:rPr>
                <w:rFonts w:ascii="Open Sans" w:hAnsi="Open Sans" w:cs="Open Sans"/>
                <w:b/>
                <w:spacing w:val="-4"/>
                <w:sz w:val="22"/>
              </w:rPr>
              <w:t>The priorities are to extend the analysis of combinatorial effects of p97 inhibition and DNA demethylating agents to AML patient samples, and potentially to MDS samples, to support the clinical relevance of our observations</w:t>
            </w:r>
            <w:r w:rsidR="00A85FFF">
              <w:rPr>
                <w:rFonts w:ascii="Open Sans" w:hAnsi="Open Sans" w:cs="Open Sans"/>
                <w:b/>
                <w:spacing w:val="-4"/>
                <w:sz w:val="22"/>
              </w:rPr>
              <w:t>. Ultimately, the results can be translated to the clinic is clinical trials.</w:t>
            </w:r>
          </w:p>
          <w:p w14:paraId="1A1A1D41" w14:textId="61557A97" w:rsidR="009F17E1" w:rsidRDefault="009F17E1" w:rsidP="009F2942">
            <w:pPr>
              <w:pStyle w:val="05Text"/>
              <w:spacing w:after="120"/>
              <w:ind w:left="886" w:hanging="526"/>
              <w:rPr>
                <w:rFonts w:ascii="Open Sans" w:hAnsi="Open Sans" w:cs="Open Sans"/>
                <w:b/>
                <w:spacing w:val="-4"/>
                <w:sz w:val="22"/>
              </w:rPr>
            </w:pPr>
          </w:p>
        </w:tc>
      </w:tr>
    </w:tbl>
    <w:p w14:paraId="342B7341" w14:textId="77777777" w:rsidR="00401EFF" w:rsidRDefault="00401EFF" w:rsidP="00401EFF">
      <w:pPr>
        <w:pStyle w:val="05Text"/>
        <w:spacing w:after="120"/>
        <w:rPr>
          <w:rFonts w:ascii="Open Sans" w:hAnsi="Open Sans" w:cs="Open Sans"/>
          <w:spacing w:val="-4"/>
          <w:sz w:val="22"/>
        </w:rPr>
      </w:pPr>
    </w:p>
    <w:sectPr w:rsidR="00401EFF" w:rsidSect="00EC7F0B">
      <w:headerReference w:type="default" r:id="rId13"/>
      <w:footerReference w:type="first" r:id="rId14"/>
      <w:pgSz w:w="11906" w:h="16838"/>
      <w:pgMar w:top="1440" w:right="1440" w:bottom="1440" w:left="1440" w:header="175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8346" w14:textId="77777777" w:rsidR="00654552" w:rsidRDefault="00654552" w:rsidP="00D3708B">
      <w:pPr>
        <w:spacing w:after="0" w:line="240" w:lineRule="auto"/>
      </w:pPr>
      <w:r>
        <w:separator/>
      </w:r>
    </w:p>
  </w:endnote>
  <w:endnote w:type="continuationSeparator" w:id="0">
    <w:p w14:paraId="60C9D269" w14:textId="77777777" w:rsidR="00654552" w:rsidRDefault="00654552" w:rsidP="00D3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FD62" w14:textId="3E499F78" w:rsidR="00EC7F0B" w:rsidRPr="00EC7F0B" w:rsidRDefault="00475B1F">
    <w:pPr>
      <w:pStyle w:val="Footer"/>
      <w:rPr>
        <w:sz w:val="16"/>
        <w:szCs w:val="16"/>
      </w:rPr>
    </w:pPr>
    <w:r>
      <w:rPr>
        <w:sz w:val="16"/>
        <w:szCs w:val="16"/>
      </w:rPr>
      <w:t>Research and Fellowship Grant Report Template – last updated</w:t>
    </w:r>
    <w:r w:rsidR="00EC7F0B" w:rsidRPr="00EC7F0B">
      <w:rPr>
        <w:sz w:val="16"/>
        <w:szCs w:val="16"/>
      </w:rPr>
      <w:t xml:space="preserve"> 06-02-2018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73FE" w14:textId="77777777" w:rsidR="00654552" w:rsidRDefault="00654552" w:rsidP="00D3708B">
      <w:pPr>
        <w:spacing w:after="0" w:line="240" w:lineRule="auto"/>
      </w:pPr>
      <w:r>
        <w:separator/>
      </w:r>
    </w:p>
  </w:footnote>
  <w:footnote w:type="continuationSeparator" w:id="0">
    <w:p w14:paraId="6DFFAE0A" w14:textId="77777777" w:rsidR="00654552" w:rsidRDefault="00654552" w:rsidP="00D37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96D3" w14:textId="77777777" w:rsidR="00D3708B" w:rsidRDefault="00D3708B">
    <w:pPr>
      <w:pStyle w:val="Header"/>
    </w:pPr>
    <w:r>
      <w:rPr>
        <w:rFonts w:ascii="Open Sans" w:hAnsi="Open Sans" w:cs="Open Sans"/>
        <w:noProof/>
        <w:lang w:eastAsia="en-GB"/>
      </w:rPr>
      <w:drawing>
        <wp:anchor distT="0" distB="0" distL="114300" distR="114300" simplePos="0" relativeHeight="251659264" behindDoc="0" locked="0" layoutInCell="1" allowOverlap="1" wp14:anchorId="147C6BEC" wp14:editId="0444EC18">
          <wp:simplePos x="0" y="0"/>
          <wp:positionH relativeFrom="margin">
            <wp:posOffset>3648397</wp:posOffset>
          </wp:positionH>
          <wp:positionV relativeFrom="margin">
            <wp:posOffset>-1071245</wp:posOffset>
          </wp:positionV>
          <wp:extent cx="268986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H-Logo-Straplin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9860"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094"/>
    <w:multiLevelType w:val="hybridMultilevel"/>
    <w:tmpl w:val="3DBE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121D18"/>
    <w:multiLevelType w:val="hybridMultilevel"/>
    <w:tmpl w:val="D3981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687E5B"/>
    <w:multiLevelType w:val="hybridMultilevel"/>
    <w:tmpl w:val="B6880F84"/>
    <w:lvl w:ilvl="0" w:tplc="8D429CAA">
      <w:start w:val="2"/>
      <w:numFmt w:val="bullet"/>
      <w:lvlText w:val=""/>
      <w:lvlJc w:val="left"/>
      <w:pPr>
        <w:ind w:left="410" w:hanging="360"/>
      </w:pPr>
      <w:rPr>
        <w:rFonts w:ascii="Symbol" w:eastAsia="Times New Roman" w:hAnsi="Symbol" w:cs="Open Sans"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60137910"/>
    <w:multiLevelType w:val="hybridMultilevel"/>
    <w:tmpl w:val="2F40127A"/>
    <w:lvl w:ilvl="0" w:tplc="11D44966">
      <w:start w:val="2"/>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495344">
    <w:abstractNumId w:val="0"/>
  </w:num>
  <w:num w:numId="2" w16cid:durableId="1164509480">
    <w:abstractNumId w:val="1"/>
  </w:num>
  <w:num w:numId="3" w16cid:durableId="252058568">
    <w:abstractNumId w:val="3"/>
  </w:num>
  <w:num w:numId="4" w16cid:durableId="1962421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CC"/>
    <w:rsid w:val="000168D5"/>
    <w:rsid w:val="000529DE"/>
    <w:rsid w:val="00052A3E"/>
    <w:rsid w:val="00060813"/>
    <w:rsid w:val="00096FB1"/>
    <w:rsid w:val="000A2A10"/>
    <w:rsid w:val="00107526"/>
    <w:rsid w:val="00146DBB"/>
    <w:rsid w:val="001A4407"/>
    <w:rsid w:val="0025776D"/>
    <w:rsid w:val="002C6387"/>
    <w:rsid w:val="00316CBF"/>
    <w:rsid w:val="003316D0"/>
    <w:rsid w:val="003B2960"/>
    <w:rsid w:val="003C14DB"/>
    <w:rsid w:val="003F6E96"/>
    <w:rsid w:val="00401EFF"/>
    <w:rsid w:val="00433FBC"/>
    <w:rsid w:val="00475B1F"/>
    <w:rsid w:val="00477763"/>
    <w:rsid w:val="004B4434"/>
    <w:rsid w:val="004C1595"/>
    <w:rsid w:val="004E0633"/>
    <w:rsid w:val="004E1CBF"/>
    <w:rsid w:val="004F3D03"/>
    <w:rsid w:val="00524066"/>
    <w:rsid w:val="00527C63"/>
    <w:rsid w:val="00535538"/>
    <w:rsid w:val="00654552"/>
    <w:rsid w:val="0066709F"/>
    <w:rsid w:val="0069479A"/>
    <w:rsid w:val="00736ECF"/>
    <w:rsid w:val="007558B8"/>
    <w:rsid w:val="00773089"/>
    <w:rsid w:val="007A7E16"/>
    <w:rsid w:val="007D5B11"/>
    <w:rsid w:val="007E0F03"/>
    <w:rsid w:val="00814C12"/>
    <w:rsid w:val="00857BD2"/>
    <w:rsid w:val="008A4CC9"/>
    <w:rsid w:val="00906D65"/>
    <w:rsid w:val="00921CE6"/>
    <w:rsid w:val="00926515"/>
    <w:rsid w:val="009773FE"/>
    <w:rsid w:val="009A55C6"/>
    <w:rsid w:val="009F17E1"/>
    <w:rsid w:val="009F2942"/>
    <w:rsid w:val="00A26A72"/>
    <w:rsid w:val="00A85FFF"/>
    <w:rsid w:val="00AB593E"/>
    <w:rsid w:val="00B41697"/>
    <w:rsid w:val="00B42E2E"/>
    <w:rsid w:val="00B91EBB"/>
    <w:rsid w:val="00C50F23"/>
    <w:rsid w:val="00CA2BFC"/>
    <w:rsid w:val="00CD1696"/>
    <w:rsid w:val="00D31B70"/>
    <w:rsid w:val="00D3708B"/>
    <w:rsid w:val="00D508A9"/>
    <w:rsid w:val="00D81B58"/>
    <w:rsid w:val="00E01AAB"/>
    <w:rsid w:val="00E16B56"/>
    <w:rsid w:val="00E25CBC"/>
    <w:rsid w:val="00E25D4B"/>
    <w:rsid w:val="00E918CC"/>
    <w:rsid w:val="00E94984"/>
    <w:rsid w:val="00EC7F0B"/>
    <w:rsid w:val="00F70CAF"/>
    <w:rsid w:val="00FF5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20066"/>
  <w15:chartTrackingRefBased/>
  <w15:docId w15:val="{C6B74045-CE6D-4DF2-92F0-4B4548F8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3FE"/>
    <w:pPr>
      <w:ind w:left="720"/>
      <w:contextualSpacing/>
    </w:pPr>
  </w:style>
  <w:style w:type="table" w:styleId="TableGrid">
    <w:name w:val="Table Grid"/>
    <w:basedOn w:val="TableNormal"/>
    <w:uiPriority w:val="39"/>
    <w:rsid w:val="0092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08B"/>
  </w:style>
  <w:style w:type="paragraph" w:styleId="Footer">
    <w:name w:val="footer"/>
    <w:basedOn w:val="Normal"/>
    <w:link w:val="FooterChar"/>
    <w:uiPriority w:val="99"/>
    <w:unhideWhenUsed/>
    <w:rsid w:val="00D37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08B"/>
  </w:style>
  <w:style w:type="paragraph" w:styleId="BalloonText">
    <w:name w:val="Balloon Text"/>
    <w:basedOn w:val="Normal"/>
    <w:link w:val="BalloonTextChar"/>
    <w:uiPriority w:val="99"/>
    <w:semiHidden/>
    <w:unhideWhenUsed/>
    <w:rsid w:val="00316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CBF"/>
    <w:rPr>
      <w:rFonts w:ascii="Segoe UI" w:hAnsi="Segoe UI" w:cs="Segoe UI"/>
      <w:sz w:val="18"/>
      <w:szCs w:val="18"/>
    </w:rPr>
  </w:style>
  <w:style w:type="paragraph" w:customStyle="1" w:styleId="05Text">
    <w:name w:val="05 Text"/>
    <w:basedOn w:val="Normal"/>
    <w:rsid w:val="007A7E16"/>
    <w:pPr>
      <w:spacing w:after="130" w:line="240" w:lineRule="atLeast"/>
    </w:pPr>
    <w:rPr>
      <w:rFonts w:ascii="Arial" w:eastAsia="Times New Roman" w:hAnsi="Arial" w:cs="Times New Roman"/>
      <w:kern w:val="26"/>
      <w:sz w:val="24"/>
    </w:rPr>
  </w:style>
  <w:style w:type="character" w:styleId="Hyperlink">
    <w:name w:val="Hyperlink"/>
    <w:basedOn w:val="DefaultParagraphFont"/>
    <w:uiPriority w:val="99"/>
    <w:unhideWhenUsed/>
    <w:rsid w:val="00CD1696"/>
    <w:rPr>
      <w:color w:val="0563C1" w:themeColor="hyperlink"/>
      <w:u w:val="single"/>
    </w:rPr>
  </w:style>
  <w:style w:type="character" w:styleId="CommentReference">
    <w:name w:val="annotation reference"/>
    <w:basedOn w:val="DefaultParagraphFont"/>
    <w:uiPriority w:val="99"/>
    <w:semiHidden/>
    <w:unhideWhenUsed/>
    <w:rsid w:val="002C6387"/>
    <w:rPr>
      <w:sz w:val="16"/>
      <w:szCs w:val="16"/>
    </w:rPr>
  </w:style>
  <w:style w:type="paragraph" w:styleId="CommentText">
    <w:name w:val="annotation text"/>
    <w:basedOn w:val="Normal"/>
    <w:link w:val="CommentTextChar"/>
    <w:uiPriority w:val="99"/>
    <w:semiHidden/>
    <w:unhideWhenUsed/>
    <w:rsid w:val="002C6387"/>
    <w:pPr>
      <w:spacing w:line="240" w:lineRule="auto"/>
    </w:pPr>
    <w:rPr>
      <w:sz w:val="20"/>
      <w:szCs w:val="20"/>
    </w:rPr>
  </w:style>
  <w:style w:type="character" w:customStyle="1" w:styleId="CommentTextChar">
    <w:name w:val="Comment Text Char"/>
    <w:basedOn w:val="DefaultParagraphFont"/>
    <w:link w:val="CommentText"/>
    <w:uiPriority w:val="99"/>
    <w:semiHidden/>
    <w:rsid w:val="002C6387"/>
    <w:rPr>
      <w:sz w:val="20"/>
      <w:szCs w:val="20"/>
    </w:rPr>
  </w:style>
  <w:style w:type="paragraph" w:styleId="CommentSubject">
    <w:name w:val="annotation subject"/>
    <w:basedOn w:val="CommentText"/>
    <w:next w:val="CommentText"/>
    <w:link w:val="CommentSubjectChar"/>
    <w:uiPriority w:val="99"/>
    <w:semiHidden/>
    <w:unhideWhenUsed/>
    <w:rsid w:val="002C6387"/>
    <w:rPr>
      <w:b/>
      <w:bCs/>
    </w:rPr>
  </w:style>
  <w:style w:type="character" w:customStyle="1" w:styleId="CommentSubjectChar">
    <w:name w:val="Comment Subject Char"/>
    <w:basedOn w:val="CommentTextChar"/>
    <w:link w:val="CommentSubject"/>
    <w:uiPriority w:val="99"/>
    <w:semiHidden/>
    <w:rsid w:val="002C6387"/>
    <w:rPr>
      <w:b/>
      <w:bCs/>
      <w:sz w:val="20"/>
      <w:szCs w:val="20"/>
    </w:rPr>
  </w:style>
  <w:style w:type="character" w:styleId="UnresolvedMention">
    <w:name w:val="Unresolved Mention"/>
    <w:basedOn w:val="DefaultParagraphFont"/>
    <w:uiPriority w:val="99"/>
    <w:semiHidden/>
    <w:unhideWhenUsed/>
    <w:rsid w:val="002C63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78063">
      <w:bodyDiv w:val="1"/>
      <w:marLeft w:val="0"/>
      <w:marRight w:val="0"/>
      <w:marTop w:val="0"/>
      <w:marBottom w:val="0"/>
      <w:divBdr>
        <w:top w:val="none" w:sz="0" w:space="0" w:color="auto"/>
        <w:left w:val="none" w:sz="0" w:space="0" w:color="auto"/>
        <w:bottom w:val="none" w:sz="0" w:space="0" w:color="auto"/>
        <w:right w:val="none" w:sz="0" w:space="0" w:color="auto"/>
      </w:divBdr>
    </w:div>
    <w:div w:id="453451678">
      <w:bodyDiv w:val="1"/>
      <w:marLeft w:val="0"/>
      <w:marRight w:val="0"/>
      <w:marTop w:val="0"/>
      <w:marBottom w:val="0"/>
      <w:divBdr>
        <w:top w:val="none" w:sz="0" w:space="0" w:color="auto"/>
        <w:left w:val="none" w:sz="0" w:space="0" w:color="auto"/>
        <w:bottom w:val="none" w:sz="0" w:space="0" w:color="auto"/>
        <w:right w:val="none" w:sz="0" w:space="0" w:color="auto"/>
      </w:divBdr>
    </w:div>
    <w:div w:id="15226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s-h.org.uk/membership/grants-our-impa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b-s-h.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B2E277ECA6F4BAE276864D4045674" ma:contentTypeVersion="14" ma:contentTypeDescription="Create a new document." ma:contentTypeScope="" ma:versionID="225d7fb5594d84dc93a63cea901f1363">
  <xsd:schema xmlns:xsd="http://www.w3.org/2001/XMLSchema" xmlns:xs="http://www.w3.org/2001/XMLSchema" xmlns:p="http://schemas.microsoft.com/office/2006/metadata/properties" xmlns:ns3="db40f86d-2475-454d-b28f-a7d5ae2e3659" xmlns:ns4="5858effa-fc75-4cc3-b204-e1a6aa2f0e06" targetNamespace="http://schemas.microsoft.com/office/2006/metadata/properties" ma:root="true" ma:fieldsID="465dfb94ad2f4af490bc40751ecfec1b" ns3:_="" ns4:_="">
    <xsd:import namespace="db40f86d-2475-454d-b28f-a7d5ae2e3659"/>
    <xsd:import namespace="5858effa-fc75-4cc3-b204-e1a6aa2f0e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0f86d-2475-454d-b28f-a7d5ae2e3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8effa-fc75-4cc3-b204-e1a6aa2f0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E75D-8FE7-44A1-8BF8-B5B295019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0f86d-2475-454d-b28f-a7d5ae2e3659"/>
    <ds:schemaRef ds:uri="5858effa-fc75-4cc3-b204-e1a6aa2f0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E00FA-DEEB-4FEE-ABCB-AE4C22A4EB5B}">
  <ds:schemaRefs>
    <ds:schemaRef ds:uri="http://schemas.microsoft.com/sharepoint/v3/contenttype/forms"/>
  </ds:schemaRefs>
</ds:datastoreItem>
</file>

<file path=customXml/itemProps3.xml><?xml version="1.0" encoding="utf-8"?>
<ds:datastoreItem xmlns:ds="http://schemas.openxmlformats.org/officeDocument/2006/customXml" ds:itemID="{5C9AE674-0D5F-4FC2-8D7A-EECC281358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493EC-4EEE-41A3-9312-28E39124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Karlsson</dc:creator>
  <cp:keywords/>
  <dc:description/>
  <cp:lastModifiedBy>Maxwell McCreton</cp:lastModifiedBy>
  <cp:revision>5</cp:revision>
  <cp:lastPrinted>2017-07-05T13:31:00Z</cp:lastPrinted>
  <dcterms:created xsi:type="dcterms:W3CDTF">2022-05-02T13:41:00Z</dcterms:created>
  <dcterms:modified xsi:type="dcterms:W3CDTF">2022-05-05T12:35:00Z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0x0101001BCB2E277ECA6F4BAE276864D4045674</vt:lpwstr>
  </property>
  <property fmtid="{D5CDD505-2E9C-101B-9397-08002B2CF9AE}" pid="3" name="Order">
    <vt:r8>9200</vt:r8>
  </property>
</Properties>
</file>