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B06639" w14:textId="2C7C756A" w:rsidR="006F3701" w:rsidRPr="009C14FA" w:rsidRDefault="006F3701" w:rsidP="006F3701">
      <w:pPr>
        <w:rPr>
          <w:b/>
          <w:bCs/>
          <w:sz w:val="24"/>
          <w:szCs w:val="24"/>
          <w:u w:val="single"/>
        </w:rPr>
      </w:pPr>
      <w:bookmarkStart w:id="0" w:name="_GoBack"/>
      <w:bookmarkEnd w:id="0"/>
      <w:r w:rsidRPr="009C14FA">
        <w:rPr>
          <w:b/>
          <w:bCs/>
          <w:sz w:val="24"/>
          <w:szCs w:val="24"/>
          <w:u w:val="single"/>
        </w:rPr>
        <w:t>Supplementary document</w:t>
      </w:r>
    </w:p>
    <w:p w14:paraId="0C0D6BE8" w14:textId="77777777" w:rsidR="00DA65BE" w:rsidRDefault="00DA65BE" w:rsidP="00A43F1E">
      <w:pPr>
        <w:rPr>
          <w:b/>
          <w:bCs/>
          <w:sz w:val="24"/>
          <w:szCs w:val="24"/>
        </w:rPr>
      </w:pPr>
    </w:p>
    <w:p w14:paraId="76A9B66B" w14:textId="6FE7008F" w:rsidR="003F27DA" w:rsidRPr="003D7EBC" w:rsidRDefault="006F3701" w:rsidP="00A43F1E">
      <w:pPr>
        <w:rPr>
          <w:b/>
          <w:bCs/>
          <w:sz w:val="24"/>
          <w:szCs w:val="24"/>
        </w:rPr>
      </w:pPr>
      <w:r>
        <w:rPr>
          <w:b/>
          <w:bCs/>
          <w:sz w:val="24"/>
          <w:szCs w:val="24"/>
        </w:rPr>
        <w:t xml:space="preserve">Additional guidance for </w:t>
      </w:r>
      <w:r w:rsidR="003F27DA" w:rsidRPr="003D7EBC">
        <w:rPr>
          <w:b/>
          <w:bCs/>
          <w:sz w:val="24"/>
          <w:szCs w:val="24"/>
        </w:rPr>
        <w:t>Laboratory and Organisational Aspects</w:t>
      </w:r>
      <w:r>
        <w:rPr>
          <w:b/>
          <w:bCs/>
          <w:sz w:val="24"/>
          <w:szCs w:val="24"/>
        </w:rPr>
        <w:t xml:space="preserve"> of the </w:t>
      </w:r>
      <w:r w:rsidRPr="003D7EBC">
        <w:rPr>
          <w:b/>
          <w:bCs/>
          <w:sz w:val="24"/>
          <w:szCs w:val="24"/>
        </w:rPr>
        <w:t>Haematological Management of Major Haemorrhage –</w:t>
      </w:r>
      <w:r w:rsidR="00716EEF" w:rsidRPr="003D7EBC">
        <w:rPr>
          <w:b/>
          <w:bCs/>
          <w:sz w:val="24"/>
          <w:szCs w:val="24"/>
        </w:rPr>
        <w:t xml:space="preserve"> </w:t>
      </w:r>
      <w:r w:rsidR="006854AA" w:rsidRPr="003D7EBC">
        <w:rPr>
          <w:b/>
          <w:bCs/>
          <w:sz w:val="24"/>
          <w:szCs w:val="24"/>
        </w:rPr>
        <w:t>A</w:t>
      </w:r>
      <w:r w:rsidR="00716EEF" w:rsidRPr="003D7EBC">
        <w:rPr>
          <w:b/>
          <w:bCs/>
          <w:sz w:val="24"/>
          <w:szCs w:val="24"/>
        </w:rPr>
        <w:t xml:space="preserve"> British Society for Haematology Guideline</w:t>
      </w:r>
    </w:p>
    <w:p w14:paraId="3E969D4E" w14:textId="56BF6F8F" w:rsidR="009B3C1C" w:rsidRPr="003D7EBC" w:rsidRDefault="009B3C1C" w:rsidP="00A43F1E">
      <w:pPr>
        <w:rPr>
          <w:b/>
          <w:bCs/>
          <w:sz w:val="24"/>
          <w:szCs w:val="24"/>
        </w:rPr>
      </w:pPr>
    </w:p>
    <w:p w14:paraId="47EC045B" w14:textId="77777777" w:rsidR="006F3701" w:rsidRDefault="006F3701" w:rsidP="00D44AD6">
      <w:pPr>
        <w:rPr>
          <w:b/>
          <w:bCs/>
          <w:sz w:val="24"/>
          <w:szCs w:val="24"/>
        </w:rPr>
      </w:pPr>
    </w:p>
    <w:p w14:paraId="779616A0" w14:textId="7A0E8390" w:rsidR="000F0F83" w:rsidRPr="00112AAE" w:rsidRDefault="000F0F83" w:rsidP="00112AAE">
      <w:pPr>
        <w:pStyle w:val="NormalWeb"/>
        <w:spacing w:line="480" w:lineRule="auto"/>
        <w:rPr>
          <w:b/>
          <w:bCs/>
          <w:i/>
          <w:iCs/>
        </w:rPr>
      </w:pPr>
      <w:r w:rsidRPr="00112AAE">
        <w:rPr>
          <w:b/>
          <w:bCs/>
          <w:i/>
          <w:iCs/>
        </w:rPr>
        <w:t xml:space="preserve">Introduction </w:t>
      </w:r>
    </w:p>
    <w:p w14:paraId="7B439488" w14:textId="1AE2A190" w:rsidR="009E6B33" w:rsidRPr="00E57999" w:rsidRDefault="000F0F83" w:rsidP="009E6B33">
      <w:pPr>
        <w:pStyle w:val="Default"/>
        <w:spacing w:line="480" w:lineRule="auto"/>
        <w:rPr>
          <w:rFonts w:ascii="Arial" w:hAnsi="Arial" w:cs="Arial"/>
          <w:lang w:eastAsia="ja-JP"/>
        </w:rPr>
      </w:pPr>
      <w:r w:rsidRPr="00E57999">
        <w:rPr>
          <w:rFonts w:ascii="Arial" w:hAnsi="Arial" w:cs="Arial"/>
          <w:lang w:eastAsia="ja-JP"/>
        </w:rPr>
        <w:t>The aim of this</w:t>
      </w:r>
      <w:r w:rsidR="009E6B33" w:rsidRPr="00E57999">
        <w:rPr>
          <w:rFonts w:ascii="Arial" w:hAnsi="Arial" w:cs="Arial"/>
          <w:lang w:eastAsia="ja-JP"/>
        </w:rPr>
        <w:t xml:space="preserve"> supplement </w:t>
      </w:r>
      <w:r w:rsidR="009A4E93" w:rsidRPr="00E57999">
        <w:rPr>
          <w:rFonts w:ascii="Arial" w:hAnsi="Arial" w:cs="Arial"/>
          <w:lang w:eastAsia="ja-JP"/>
        </w:rPr>
        <w:t>i</w:t>
      </w:r>
      <w:r w:rsidRPr="00E57999">
        <w:rPr>
          <w:rFonts w:ascii="Arial" w:hAnsi="Arial" w:cs="Arial"/>
          <w:lang w:eastAsia="ja-JP"/>
        </w:rPr>
        <w:t xml:space="preserve">s to provide </w:t>
      </w:r>
      <w:r w:rsidR="006F3701" w:rsidRPr="00E57999">
        <w:rPr>
          <w:rFonts w:ascii="Arial" w:hAnsi="Arial" w:cs="Arial"/>
          <w:lang w:eastAsia="ja-JP"/>
        </w:rPr>
        <w:t xml:space="preserve">additional </w:t>
      </w:r>
      <w:r w:rsidRPr="00E57999">
        <w:rPr>
          <w:rFonts w:ascii="Arial" w:hAnsi="Arial" w:cs="Arial"/>
          <w:lang w:eastAsia="ja-JP"/>
        </w:rPr>
        <w:t xml:space="preserve">practical guidance </w:t>
      </w:r>
      <w:r w:rsidR="00506D1C" w:rsidRPr="00E57999">
        <w:rPr>
          <w:rFonts w:ascii="Arial" w:hAnsi="Arial" w:cs="Arial"/>
          <w:lang w:eastAsia="ja-JP"/>
        </w:rPr>
        <w:t>on</w:t>
      </w:r>
      <w:r w:rsidRPr="00E57999">
        <w:rPr>
          <w:rFonts w:ascii="Arial" w:hAnsi="Arial" w:cs="Arial"/>
          <w:lang w:eastAsia="ja-JP"/>
        </w:rPr>
        <w:t xml:space="preserve"> </w:t>
      </w:r>
      <w:r w:rsidR="00506D1C" w:rsidRPr="00E57999">
        <w:rPr>
          <w:rFonts w:ascii="Arial" w:hAnsi="Arial" w:cs="Arial"/>
          <w:lang w:eastAsia="ja-JP"/>
        </w:rPr>
        <w:t>l</w:t>
      </w:r>
      <w:r w:rsidRPr="00E57999">
        <w:rPr>
          <w:rFonts w:ascii="Arial" w:hAnsi="Arial" w:cs="Arial"/>
          <w:lang w:eastAsia="ja-JP"/>
        </w:rPr>
        <w:t xml:space="preserve">aboratory </w:t>
      </w:r>
      <w:r w:rsidR="00506D1C" w:rsidRPr="00E57999">
        <w:rPr>
          <w:rFonts w:ascii="Arial" w:hAnsi="Arial" w:cs="Arial"/>
          <w:lang w:eastAsia="ja-JP"/>
        </w:rPr>
        <w:t>and organisational</w:t>
      </w:r>
      <w:r w:rsidR="003765F6" w:rsidRPr="00E57999">
        <w:rPr>
          <w:rFonts w:ascii="Arial" w:hAnsi="Arial" w:cs="Arial"/>
          <w:lang w:eastAsia="ja-JP"/>
        </w:rPr>
        <w:t xml:space="preserve"> </w:t>
      </w:r>
      <w:r w:rsidR="0062641A" w:rsidRPr="00E57999">
        <w:rPr>
          <w:rFonts w:ascii="Arial" w:hAnsi="Arial" w:cs="Arial"/>
          <w:lang w:eastAsia="ja-JP"/>
        </w:rPr>
        <w:t>support</w:t>
      </w:r>
      <w:r w:rsidR="00506D1C" w:rsidRPr="00E57999">
        <w:rPr>
          <w:rFonts w:ascii="Arial" w:hAnsi="Arial" w:cs="Arial"/>
          <w:lang w:eastAsia="ja-JP"/>
        </w:rPr>
        <w:t xml:space="preserve"> </w:t>
      </w:r>
      <w:r w:rsidR="0062641A" w:rsidRPr="00E57999">
        <w:rPr>
          <w:rFonts w:ascii="Arial" w:hAnsi="Arial" w:cs="Arial"/>
          <w:lang w:eastAsia="ja-JP"/>
        </w:rPr>
        <w:t>to improve</w:t>
      </w:r>
      <w:r w:rsidR="00506D1C" w:rsidRPr="00E57999">
        <w:rPr>
          <w:rFonts w:ascii="Arial" w:hAnsi="Arial" w:cs="Arial"/>
          <w:lang w:eastAsia="ja-JP"/>
        </w:rPr>
        <w:t xml:space="preserve"> outcomes in major haemorrhage </w:t>
      </w:r>
      <w:r w:rsidR="008636F9" w:rsidRPr="00E57999">
        <w:rPr>
          <w:rFonts w:ascii="Arial" w:hAnsi="Arial" w:cs="Arial"/>
          <w:lang w:eastAsia="ja-JP"/>
        </w:rPr>
        <w:t xml:space="preserve">in </w:t>
      </w:r>
      <w:r w:rsidRPr="00E57999">
        <w:rPr>
          <w:rFonts w:ascii="Arial" w:hAnsi="Arial" w:cs="Arial"/>
          <w:lang w:eastAsia="ja-JP"/>
        </w:rPr>
        <w:t xml:space="preserve">adults. This </w:t>
      </w:r>
      <w:r w:rsidR="009E6B33" w:rsidRPr="00E57999">
        <w:rPr>
          <w:rFonts w:ascii="Arial" w:hAnsi="Arial" w:cs="Arial"/>
          <w:lang w:eastAsia="ja-JP"/>
        </w:rPr>
        <w:t>supplement</w:t>
      </w:r>
      <w:r w:rsidRPr="00E57999">
        <w:rPr>
          <w:rFonts w:ascii="Arial" w:hAnsi="Arial" w:cs="Arial"/>
          <w:lang w:eastAsia="ja-JP"/>
        </w:rPr>
        <w:t xml:space="preserve"> should be read alongside the </w:t>
      </w:r>
      <w:r w:rsidR="006F3701" w:rsidRPr="00E57999">
        <w:rPr>
          <w:rFonts w:ascii="Arial" w:hAnsi="Arial" w:cs="Arial"/>
          <w:lang w:eastAsia="ja-JP"/>
        </w:rPr>
        <w:t>main</w:t>
      </w:r>
      <w:r w:rsidR="00B52CA7" w:rsidRPr="00E57999">
        <w:rPr>
          <w:rFonts w:ascii="Arial" w:hAnsi="Arial" w:cs="Arial"/>
          <w:lang w:eastAsia="ja-JP"/>
        </w:rPr>
        <w:t xml:space="preserve"> </w:t>
      </w:r>
      <w:r w:rsidR="009A4E93" w:rsidRPr="00E57999">
        <w:rPr>
          <w:rFonts w:ascii="Arial" w:hAnsi="Arial" w:cs="Arial"/>
          <w:lang w:eastAsia="ja-JP"/>
        </w:rPr>
        <w:t xml:space="preserve">document on the ‘Haematological Management of Major Haemorrhage: </w:t>
      </w:r>
      <w:r w:rsidR="00D84303" w:rsidRPr="00E57999">
        <w:rPr>
          <w:rFonts w:ascii="Arial" w:hAnsi="Arial" w:cs="Arial"/>
          <w:lang w:eastAsia="ja-JP"/>
        </w:rPr>
        <w:t>A</w:t>
      </w:r>
      <w:r w:rsidR="009A4E93" w:rsidRPr="00E57999">
        <w:rPr>
          <w:rFonts w:ascii="Arial" w:hAnsi="Arial" w:cs="Arial"/>
          <w:lang w:eastAsia="ja-JP"/>
        </w:rPr>
        <w:t xml:space="preserve"> British Society for Haematology Guideline</w:t>
      </w:r>
      <w:r w:rsidR="00D84303" w:rsidRPr="00E57999">
        <w:rPr>
          <w:rFonts w:ascii="Arial" w:hAnsi="Arial" w:cs="Arial"/>
          <w:lang w:eastAsia="ja-JP"/>
        </w:rPr>
        <w:t>.’</w:t>
      </w:r>
      <w:r w:rsidRPr="00E57999">
        <w:rPr>
          <w:rFonts w:ascii="Arial" w:hAnsi="Arial" w:cs="Arial"/>
          <w:lang w:eastAsia="ja-JP"/>
        </w:rPr>
        <w:t xml:space="preserve"> </w:t>
      </w:r>
      <w:r w:rsidR="009E6B33" w:rsidRPr="00E57999">
        <w:rPr>
          <w:rFonts w:ascii="Arial" w:hAnsi="Arial" w:cs="Arial"/>
          <w:lang w:eastAsia="ja-JP"/>
        </w:rPr>
        <w:t>Delay</w:t>
      </w:r>
      <w:r w:rsidR="00BF257F" w:rsidRPr="00E57999">
        <w:rPr>
          <w:rFonts w:ascii="Arial" w:hAnsi="Arial" w:cs="Arial"/>
          <w:lang w:eastAsia="ja-JP"/>
        </w:rPr>
        <w:t>s in</w:t>
      </w:r>
      <w:r w:rsidR="009E6B33" w:rsidRPr="00E57999">
        <w:rPr>
          <w:rFonts w:ascii="Arial" w:hAnsi="Arial" w:cs="Arial"/>
          <w:lang w:eastAsia="ja-JP"/>
        </w:rPr>
        <w:t xml:space="preserve"> </w:t>
      </w:r>
      <w:r w:rsidR="008B2D74" w:rsidRPr="00E57999">
        <w:rPr>
          <w:rFonts w:ascii="Arial" w:hAnsi="Arial" w:cs="Arial"/>
          <w:lang w:eastAsia="ja-JP"/>
        </w:rPr>
        <w:t>diagnosis</w:t>
      </w:r>
      <w:r w:rsidR="00395DFE" w:rsidRPr="00E57999">
        <w:rPr>
          <w:rFonts w:ascii="Arial" w:hAnsi="Arial" w:cs="Arial"/>
          <w:lang w:eastAsia="ja-JP"/>
        </w:rPr>
        <w:t>,</w:t>
      </w:r>
      <w:r w:rsidR="00E76C13" w:rsidRPr="00E57999">
        <w:rPr>
          <w:rFonts w:ascii="Arial" w:hAnsi="Arial" w:cs="Arial"/>
          <w:lang w:eastAsia="ja-JP"/>
        </w:rPr>
        <w:t xml:space="preserve"> </w:t>
      </w:r>
      <w:r w:rsidR="009E6B33" w:rsidRPr="00E57999">
        <w:rPr>
          <w:rFonts w:ascii="Arial" w:hAnsi="Arial" w:cs="Arial"/>
          <w:lang w:eastAsia="ja-JP"/>
        </w:rPr>
        <w:t xml:space="preserve">communication and laboratory </w:t>
      </w:r>
      <w:r w:rsidR="008B2D74" w:rsidRPr="00E57999">
        <w:rPr>
          <w:rFonts w:ascii="Arial" w:hAnsi="Arial" w:cs="Arial"/>
          <w:lang w:eastAsia="ja-JP"/>
        </w:rPr>
        <w:t xml:space="preserve">related issues </w:t>
      </w:r>
      <w:r w:rsidR="009E6B33" w:rsidRPr="00E57999">
        <w:rPr>
          <w:rFonts w:ascii="Arial" w:hAnsi="Arial" w:cs="Arial"/>
          <w:lang w:eastAsia="ja-JP"/>
        </w:rPr>
        <w:t xml:space="preserve">are risk factors for adverse outcomes </w:t>
      </w:r>
      <w:r w:rsidR="008B2D74" w:rsidRPr="00E57999">
        <w:rPr>
          <w:rFonts w:ascii="Arial" w:hAnsi="Arial" w:cs="Arial"/>
          <w:lang w:eastAsia="ja-JP"/>
        </w:rPr>
        <w:t xml:space="preserve">of </w:t>
      </w:r>
      <w:r w:rsidR="009E6B33" w:rsidRPr="00E57999">
        <w:rPr>
          <w:rFonts w:ascii="Arial" w:hAnsi="Arial" w:cs="Arial"/>
          <w:lang w:eastAsia="ja-JP"/>
        </w:rPr>
        <w:t xml:space="preserve">major haemorrhage.  A recent SHOT report described 133 cases of delays to transfusion which may </w:t>
      </w:r>
      <w:r w:rsidR="004B44A4" w:rsidRPr="00E57999">
        <w:rPr>
          <w:rFonts w:ascii="Arial" w:hAnsi="Arial" w:cs="Arial"/>
          <w:lang w:eastAsia="ja-JP"/>
        </w:rPr>
        <w:t xml:space="preserve">have </w:t>
      </w:r>
      <w:r w:rsidR="009E6B33" w:rsidRPr="00E57999">
        <w:rPr>
          <w:rFonts w:ascii="Arial" w:hAnsi="Arial" w:cs="Arial"/>
          <w:lang w:eastAsia="ja-JP"/>
        </w:rPr>
        <w:t>contribute</w:t>
      </w:r>
      <w:r w:rsidR="004B44A4" w:rsidRPr="00E57999">
        <w:rPr>
          <w:rFonts w:ascii="Arial" w:hAnsi="Arial" w:cs="Arial"/>
          <w:lang w:eastAsia="ja-JP"/>
        </w:rPr>
        <w:t>d</w:t>
      </w:r>
      <w:r w:rsidR="009E6B33" w:rsidRPr="00E57999">
        <w:rPr>
          <w:rFonts w:ascii="Arial" w:hAnsi="Arial" w:cs="Arial"/>
          <w:lang w:eastAsia="ja-JP"/>
        </w:rPr>
        <w:t xml:space="preserve"> to mortality, 26 in the context of major haemorrhage.</w:t>
      </w:r>
      <w:r w:rsidR="00E62A36" w:rsidRPr="00E57999">
        <w:rPr>
          <w:rFonts w:ascii="Arial" w:hAnsi="Arial" w:cs="Arial"/>
          <w:vertAlign w:val="superscript"/>
          <w:lang w:eastAsia="ja-JP"/>
        </w:rPr>
        <w:t>1</w:t>
      </w:r>
      <w:r w:rsidR="009E6B33" w:rsidRPr="00E57999">
        <w:rPr>
          <w:rFonts w:ascii="Arial" w:hAnsi="Arial" w:cs="Arial"/>
          <w:lang w:eastAsia="ja-JP"/>
        </w:rPr>
        <w:t xml:space="preserve"> Addressing these issues requires multiple strategies, </w:t>
      </w:r>
      <w:r w:rsidR="00371A11">
        <w:rPr>
          <w:rFonts w:ascii="Arial" w:hAnsi="Arial" w:cs="Arial"/>
          <w:lang w:eastAsia="ja-JP"/>
        </w:rPr>
        <w:t xml:space="preserve">from education to training, </w:t>
      </w:r>
      <w:r w:rsidR="009E6B33" w:rsidRPr="00E57999">
        <w:rPr>
          <w:rFonts w:ascii="Arial" w:hAnsi="Arial" w:cs="Arial"/>
          <w:lang w:eastAsia="ja-JP"/>
        </w:rPr>
        <w:t>aiming at both laboratory and clinical practices</w:t>
      </w:r>
      <w:r w:rsidR="00D958E0">
        <w:rPr>
          <w:rFonts w:ascii="Arial" w:hAnsi="Arial" w:cs="Arial"/>
          <w:lang w:eastAsia="ja-JP"/>
        </w:rPr>
        <w:t xml:space="preserve">, and the interfaces between </w:t>
      </w:r>
      <w:r w:rsidR="00D958E0" w:rsidRPr="00E57999">
        <w:rPr>
          <w:rFonts w:ascii="Arial" w:hAnsi="Arial" w:cs="Arial"/>
          <w:lang w:eastAsia="ja-JP"/>
        </w:rPr>
        <w:t>laboratory and clinical practices</w:t>
      </w:r>
      <w:r w:rsidR="003A49D0">
        <w:rPr>
          <w:rFonts w:ascii="Arial" w:hAnsi="Arial" w:cs="Arial"/>
          <w:lang w:eastAsia="ja-JP"/>
        </w:rPr>
        <w:t xml:space="preserve"> (Table</w:t>
      </w:r>
      <w:r w:rsidR="00112AAE">
        <w:rPr>
          <w:rFonts w:ascii="Arial" w:hAnsi="Arial" w:cs="Arial"/>
          <w:lang w:eastAsia="ja-JP"/>
        </w:rPr>
        <w:t>s</w:t>
      </w:r>
      <w:r w:rsidR="003A49D0">
        <w:rPr>
          <w:rFonts w:ascii="Arial" w:hAnsi="Arial" w:cs="Arial"/>
          <w:lang w:eastAsia="ja-JP"/>
        </w:rPr>
        <w:t xml:space="preserve"> 1 and 2)</w:t>
      </w:r>
      <w:r w:rsidR="00D958E0">
        <w:rPr>
          <w:rFonts w:ascii="Arial" w:hAnsi="Arial" w:cs="Arial"/>
          <w:lang w:eastAsia="ja-JP"/>
        </w:rPr>
        <w:t>.</w:t>
      </w:r>
    </w:p>
    <w:p w14:paraId="6167A5AA" w14:textId="77777777" w:rsidR="00F65883" w:rsidRPr="009A4E93" w:rsidRDefault="00F65883" w:rsidP="00E23736">
      <w:pPr>
        <w:pStyle w:val="NormalWeb"/>
        <w:spacing w:line="480" w:lineRule="auto"/>
        <w:rPr>
          <w:b/>
          <w:bCs/>
          <w:i/>
          <w:iCs/>
        </w:rPr>
      </w:pPr>
      <w:bookmarkStart w:id="1" w:name="_Hlk97043944"/>
      <w:r w:rsidRPr="009A4E93">
        <w:rPr>
          <w:b/>
          <w:bCs/>
          <w:i/>
          <w:iCs/>
        </w:rPr>
        <w:t>MHP Activation Practical Advice</w:t>
      </w:r>
    </w:p>
    <w:p w14:paraId="6DF7613A" w14:textId="267958EE" w:rsidR="00F65883" w:rsidRPr="009A4E93" w:rsidRDefault="004B1AB4" w:rsidP="00E23736">
      <w:pPr>
        <w:pStyle w:val="NormalWeb"/>
        <w:spacing w:line="480" w:lineRule="auto"/>
        <w:rPr>
          <w:i/>
          <w:iCs/>
        </w:rPr>
      </w:pPr>
      <w:r w:rsidRPr="003D7EBC">
        <w:rPr>
          <w:i/>
          <w:iCs/>
        </w:rPr>
        <w:t>Roles and responsibilities</w:t>
      </w:r>
      <w:r w:rsidR="00F65883" w:rsidRPr="009A4E93">
        <w:rPr>
          <w:i/>
          <w:iCs/>
        </w:rPr>
        <w:t xml:space="preserve"> – Clinical</w:t>
      </w:r>
    </w:p>
    <w:p w14:paraId="36E1C0E8" w14:textId="18857486" w:rsidR="006665EE" w:rsidRPr="009A4E93" w:rsidRDefault="00034011" w:rsidP="00E23736">
      <w:pPr>
        <w:pStyle w:val="NormalWeb"/>
        <w:spacing w:line="480" w:lineRule="auto"/>
        <w:rPr>
          <w:i/>
          <w:iCs/>
        </w:rPr>
      </w:pPr>
      <w:r w:rsidRPr="003D7EBC">
        <w:t>A</w:t>
      </w:r>
      <w:r w:rsidR="001D238B" w:rsidRPr="003D7EBC">
        <w:t xml:space="preserve"> </w:t>
      </w:r>
      <w:r w:rsidR="004B1AB4" w:rsidRPr="003D7EBC">
        <w:t xml:space="preserve">suitably trained individual </w:t>
      </w:r>
      <w:r w:rsidR="001D238B" w:rsidRPr="003D7EBC">
        <w:t xml:space="preserve">at the scene </w:t>
      </w:r>
      <w:r w:rsidR="006265DD" w:rsidRPr="003D7EBC">
        <w:t xml:space="preserve">should assume the role of </w:t>
      </w:r>
      <w:r w:rsidR="00112293" w:rsidRPr="003D7EBC">
        <w:t>the ‘</w:t>
      </w:r>
      <w:r w:rsidR="006265DD" w:rsidRPr="003D7EBC">
        <w:t>Team Leader</w:t>
      </w:r>
      <w:r w:rsidR="00112293" w:rsidRPr="003D7EBC">
        <w:t>’</w:t>
      </w:r>
      <w:r w:rsidR="006265DD" w:rsidRPr="003D7EBC">
        <w:t xml:space="preserve"> </w:t>
      </w:r>
      <w:r w:rsidR="00112293" w:rsidRPr="003D7EBC">
        <w:t>to</w:t>
      </w:r>
      <w:r w:rsidR="001D238B" w:rsidRPr="003D7EBC">
        <w:t xml:space="preserve"> co-ordinate patient care</w:t>
      </w:r>
      <w:r w:rsidR="00E77E55" w:rsidRPr="003D7EBC">
        <w:t>,</w:t>
      </w:r>
      <w:r w:rsidR="001D238B" w:rsidRPr="003D7EBC">
        <w:t xml:space="preserve"> </w:t>
      </w:r>
      <w:r w:rsidR="008473D8" w:rsidRPr="003D7EBC">
        <w:t>including</w:t>
      </w:r>
      <w:r w:rsidR="001D238B" w:rsidRPr="003D7EBC">
        <w:t xml:space="preserve"> the </w:t>
      </w:r>
      <w:r w:rsidR="008473D8" w:rsidRPr="003D7EBC">
        <w:t>activation</w:t>
      </w:r>
      <w:r w:rsidR="00112293" w:rsidRPr="003D7EBC">
        <w:t xml:space="preserve"> and deactivation</w:t>
      </w:r>
      <w:r w:rsidR="001D238B" w:rsidRPr="003D7EBC">
        <w:t xml:space="preserve"> of MHP</w:t>
      </w:r>
      <w:r w:rsidR="008F7DFC" w:rsidRPr="003D7EBC">
        <w:t>.</w:t>
      </w:r>
      <w:r w:rsidR="009E3B88" w:rsidRPr="003D7EBC">
        <w:t xml:space="preserve"> </w:t>
      </w:r>
      <w:r w:rsidR="001D4235" w:rsidRPr="003D7EBC">
        <w:t>The</w:t>
      </w:r>
      <w:r w:rsidR="00112293" w:rsidRPr="003D7EBC">
        <w:t xml:space="preserve"> ‘Team Leader’</w:t>
      </w:r>
      <w:r w:rsidR="006265DD" w:rsidRPr="003D7EBC">
        <w:t xml:space="preserve"> </w:t>
      </w:r>
      <w:r w:rsidR="00F65883" w:rsidRPr="009A4E93">
        <w:t>should</w:t>
      </w:r>
      <w:r w:rsidRPr="003D7EBC">
        <w:t xml:space="preserve"> </w:t>
      </w:r>
      <w:r w:rsidR="006265DD" w:rsidRPr="003D7EBC">
        <w:t xml:space="preserve">nominate </w:t>
      </w:r>
      <w:r w:rsidR="001D4235" w:rsidRPr="003D7EBC">
        <w:t>a ‘</w:t>
      </w:r>
      <w:r w:rsidR="00112293" w:rsidRPr="003D7EBC">
        <w:t xml:space="preserve">Transfusion </w:t>
      </w:r>
      <w:r w:rsidR="00143F6E" w:rsidRPr="003D7EBC">
        <w:t xml:space="preserve">Communication </w:t>
      </w:r>
      <w:r w:rsidR="00112293" w:rsidRPr="003D7EBC">
        <w:t>L</w:t>
      </w:r>
      <w:r w:rsidR="001D4235" w:rsidRPr="003D7EBC">
        <w:t>ead</w:t>
      </w:r>
      <w:r w:rsidR="001D4235" w:rsidRPr="003D7EBC">
        <w:rPr>
          <w:i/>
          <w:iCs/>
        </w:rPr>
        <w:t>’</w:t>
      </w:r>
      <w:r w:rsidR="001D4235" w:rsidRPr="003D7EBC">
        <w:t xml:space="preserve"> to act </w:t>
      </w:r>
      <w:r w:rsidR="00EC4DC5" w:rsidRPr="003D7EBC">
        <w:t xml:space="preserve">as </w:t>
      </w:r>
      <w:r w:rsidR="001D4235" w:rsidRPr="003D7EBC">
        <w:t xml:space="preserve">a liaison role between the clinical team and the laboratory staff </w:t>
      </w:r>
      <w:r w:rsidR="00F65883" w:rsidRPr="009A4E93">
        <w:t xml:space="preserve">to ensure unambiguous communications.  This role should include </w:t>
      </w:r>
      <w:r w:rsidR="00355764" w:rsidRPr="003D7EBC">
        <w:t>ensur</w:t>
      </w:r>
      <w:r w:rsidR="00F65883" w:rsidRPr="009A4E93">
        <w:t>ing</w:t>
      </w:r>
      <w:r w:rsidR="00355764" w:rsidRPr="003D7EBC">
        <w:t xml:space="preserve"> suitable samples are collected and transferred</w:t>
      </w:r>
      <w:r w:rsidR="00F65883" w:rsidRPr="009A4E93">
        <w:t xml:space="preserve"> and management of blood components (ordering, ensuring cold chain compliance, traceability)</w:t>
      </w:r>
      <w:r w:rsidR="001D4235" w:rsidRPr="003D7EBC">
        <w:t xml:space="preserve">. </w:t>
      </w:r>
      <w:r w:rsidR="00E23736" w:rsidRPr="003D7EBC">
        <w:t>A</w:t>
      </w:r>
      <w:r w:rsidR="001D4235" w:rsidRPr="0041287C">
        <w:t xml:space="preserve"> designated porter or ‘</w:t>
      </w:r>
      <w:r w:rsidR="00143F6E" w:rsidRPr="003D7EBC">
        <w:t>R</w:t>
      </w:r>
      <w:r w:rsidR="001D4235" w:rsidRPr="003D7EBC">
        <w:t xml:space="preserve">unner’ should be </w:t>
      </w:r>
      <w:r w:rsidR="00F85E01" w:rsidRPr="003D7EBC">
        <w:t>found</w:t>
      </w:r>
      <w:r w:rsidR="001D4235" w:rsidRPr="003D7EBC">
        <w:t xml:space="preserve"> to </w:t>
      </w:r>
      <w:r w:rsidR="00D4515C" w:rsidRPr="003D7EBC">
        <w:t xml:space="preserve">transport </w:t>
      </w:r>
      <w:r w:rsidR="00355764" w:rsidRPr="003D7EBC">
        <w:t xml:space="preserve">emergency </w:t>
      </w:r>
      <w:r w:rsidR="001D4235" w:rsidRPr="003D7EBC">
        <w:t>blood samples to the laboratory and collect blood components</w:t>
      </w:r>
      <w:r w:rsidR="0048307C" w:rsidRPr="003D7EBC">
        <w:t>.</w:t>
      </w:r>
      <w:bookmarkEnd w:id="1"/>
    </w:p>
    <w:p w14:paraId="555BB8DC" w14:textId="77777777" w:rsidR="00D44AD6" w:rsidRDefault="00F65883" w:rsidP="00D44AD6">
      <w:pPr>
        <w:pStyle w:val="NormalWeb"/>
        <w:spacing w:line="480" w:lineRule="auto"/>
        <w:rPr>
          <w:i/>
          <w:iCs/>
        </w:rPr>
      </w:pPr>
      <w:r w:rsidRPr="009A4E93">
        <w:rPr>
          <w:i/>
          <w:iCs/>
        </w:rPr>
        <w:lastRenderedPageBreak/>
        <w:t>Roles and responsibilities – laborator</w:t>
      </w:r>
      <w:r w:rsidR="00D44AD6">
        <w:rPr>
          <w:i/>
          <w:iCs/>
        </w:rPr>
        <w:t>y</w:t>
      </w:r>
    </w:p>
    <w:p w14:paraId="06EA6BF0" w14:textId="25786228" w:rsidR="00C94F14" w:rsidRDefault="000B1CCF" w:rsidP="00D44AD6">
      <w:pPr>
        <w:pStyle w:val="NormalWeb"/>
        <w:spacing w:line="480" w:lineRule="auto"/>
      </w:pPr>
      <w:r w:rsidRPr="003D7EBC">
        <w:t xml:space="preserve">Communication through a </w:t>
      </w:r>
      <w:r w:rsidR="005D7581" w:rsidRPr="003D7EBC">
        <w:t>lead</w:t>
      </w:r>
      <w:r w:rsidR="00355764" w:rsidRPr="003D7EBC">
        <w:t>/designated</w:t>
      </w:r>
      <w:r w:rsidRPr="003D7EBC">
        <w:t xml:space="preserve"> </w:t>
      </w:r>
      <w:r w:rsidR="00713542">
        <w:t xml:space="preserve">Laboratory </w:t>
      </w:r>
      <w:r w:rsidR="00DC7564">
        <w:t xml:space="preserve">Scientist </w:t>
      </w:r>
      <w:r w:rsidR="009A4E93">
        <w:t>should</w:t>
      </w:r>
      <w:r w:rsidRPr="003D7EBC">
        <w:t xml:space="preserve"> </w:t>
      </w:r>
      <w:r w:rsidR="006E3127" w:rsidRPr="003D7EBC">
        <w:t>reduce</w:t>
      </w:r>
      <w:r w:rsidRPr="003D7EBC">
        <w:t xml:space="preserve"> delays in handling calls/requests </w:t>
      </w:r>
      <w:r w:rsidR="005D7581" w:rsidRPr="003D7EBC">
        <w:t xml:space="preserve">and avoid </w:t>
      </w:r>
      <w:r w:rsidR="00951EEC" w:rsidRPr="003D7EBC">
        <w:t xml:space="preserve">repetition </w:t>
      </w:r>
      <w:r w:rsidR="00F82EC3" w:rsidRPr="003D7EBC">
        <w:t xml:space="preserve">of </w:t>
      </w:r>
      <w:r w:rsidR="008A0572" w:rsidRPr="003D7EBC">
        <w:t>details and</w:t>
      </w:r>
      <w:r w:rsidR="00BB3502" w:rsidRPr="003D7EBC">
        <w:t xml:space="preserve"> </w:t>
      </w:r>
      <w:r w:rsidR="005D7581" w:rsidRPr="003D7EBC">
        <w:t xml:space="preserve">will </w:t>
      </w:r>
      <w:r w:rsidR="00BB3502" w:rsidRPr="003D7EBC">
        <w:t>address oversight of the complex issues of laboratory support</w:t>
      </w:r>
      <w:r w:rsidR="005D7581" w:rsidRPr="003D7EBC">
        <w:t>,</w:t>
      </w:r>
      <w:r w:rsidR="00BB3502" w:rsidRPr="003D7EBC">
        <w:t xml:space="preserve"> </w:t>
      </w:r>
      <w:r w:rsidR="00B33847" w:rsidRPr="003D7EBC">
        <w:t>especially if</w:t>
      </w:r>
      <w:r w:rsidR="00E23736" w:rsidRPr="003D7EBC">
        <w:t xml:space="preserve"> </w:t>
      </w:r>
      <w:r w:rsidR="005D7581" w:rsidRPr="003D7EBC">
        <w:t xml:space="preserve">there are </w:t>
      </w:r>
      <w:r w:rsidR="00BB3502" w:rsidRPr="003D7EBC">
        <w:t>multiple bleeding casualties</w:t>
      </w:r>
      <w:r w:rsidR="00951EEC" w:rsidRPr="003D7EBC">
        <w:t>.</w:t>
      </w:r>
      <w:r w:rsidR="00143F6E" w:rsidRPr="003D7EBC">
        <w:t xml:space="preserve"> </w:t>
      </w:r>
      <w:r w:rsidR="00B85EA2" w:rsidRPr="003D7EBC">
        <w:t>T</w:t>
      </w:r>
      <w:r w:rsidR="006D6EA9" w:rsidRPr="003D7EBC">
        <w:t xml:space="preserve">he laboratory should ensure that there is </w:t>
      </w:r>
      <w:r w:rsidR="00F85E01" w:rsidRPr="003D7EBC">
        <w:t>a method</w:t>
      </w:r>
      <w:r w:rsidR="006D6EA9" w:rsidRPr="003D7EBC">
        <w:t xml:space="preserve"> to record </w:t>
      </w:r>
      <w:r w:rsidR="00113362" w:rsidRPr="003D7EBC">
        <w:t>the requests</w:t>
      </w:r>
      <w:r w:rsidR="0056280F" w:rsidRPr="003D7EBC">
        <w:t xml:space="preserve"> for</w:t>
      </w:r>
      <w:r w:rsidR="006642DD" w:rsidRPr="003D7EBC">
        <w:t xml:space="preserve"> component</w:t>
      </w:r>
      <w:r w:rsidR="0056280F" w:rsidRPr="003D7EBC">
        <w:t xml:space="preserve"> support.</w:t>
      </w:r>
      <w:r w:rsidR="0012732C" w:rsidRPr="003D7EBC">
        <w:t xml:space="preserve">  A structured </w:t>
      </w:r>
      <w:r w:rsidR="006800A2" w:rsidRPr="003D7EBC">
        <w:t>response</w:t>
      </w:r>
      <w:r w:rsidR="0012732C" w:rsidRPr="003D7EBC">
        <w:t xml:space="preserve"> </w:t>
      </w:r>
      <w:r w:rsidR="0056280F" w:rsidRPr="003D7EBC">
        <w:t xml:space="preserve">to </w:t>
      </w:r>
      <w:r w:rsidR="0016084E" w:rsidRPr="003D7EBC">
        <w:t xml:space="preserve">messaging including </w:t>
      </w:r>
      <w:r w:rsidR="0056280F" w:rsidRPr="003D7EBC">
        <w:t>requests for blood</w:t>
      </w:r>
      <w:r w:rsidR="006642DD" w:rsidRPr="003D7EBC">
        <w:t xml:space="preserve"> components</w:t>
      </w:r>
      <w:r w:rsidR="0056280F" w:rsidRPr="003D7EBC">
        <w:t xml:space="preserve"> </w:t>
      </w:r>
      <w:r w:rsidR="0012732C" w:rsidRPr="003D7EBC">
        <w:t>is recommended together with readback</w:t>
      </w:r>
      <w:r w:rsidR="00371A11">
        <w:rPr>
          <w:vertAlign w:val="superscript"/>
        </w:rPr>
        <w:t>2</w:t>
      </w:r>
      <w:r w:rsidR="00E23736" w:rsidRPr="003D7EBC">
        <w:t xml:space="preserve"> </w:t>
      </w:r>
      <w:r w:rsidR="00713542">
        <w:t>(closed loop communication</w:t>
      </w:r>
      <w:r w:rsidR="009E6E15">
        <w:t>)</w:t>
      </w:r>
      <w:r w:rsidR="00E23736" w:rsidRPr="003D7EBC">
        <w:t>.</w:t>
      </w:r>
      <w:r w:rsidR="0012732C" w:rsidRPr="003D7EBC">
        <w:t xml:space="preserve"> </w:t>
      </w:r>
      <w:r w:rsidR="006D6EA9" w:rsidRPr="003D7EBC">
        <w:t xml:space="preserve">Where available, </w:t>
      </w:r>
      <w:r w:rsidR="00F85E01" w:rsidRPr="003D7EBC">
        <w:t>other</w:t>
      </w:r>
      <w:r w:rsidRPr="003D7EBC">
        <w:t xml:space="preserve"> staff </w:t>
      </w:r>
      <w:r w:rsidR="002557F8" w:rsidRPr="003D7EBC">
        <w:t>should be involved including</w:t>
      </w:r>
      <w:r w:rsidR="006800A2" w:rsidRPr="003D7EBC">
        <w:t xml:space="preserve"> </w:t>
      </w:r>
      <w:r w:rsidR="005D7581" w:rsidRPr="003D7EBC">
        <w:t xml:space="preserve">transfusion practitioners </w:t>
      </w:r>
      <w:r w:rsidR="006800A2" w:rsidRPr="003D7EBC">
        <w:t xml:space="preserve">to support </w:t>
      </w:r>
      <w:r w:rsidR="00B33847" w:rsidRPr="003D7EBC">
        <w:t>c</w:t>
      </w:r>
      <w:r w:rsidR="00BD16E0" w:rsidRPr="003D7EBC">
        <w:t>ommunication between laboratory and clinical areas</w:t>
      </w:r>
      <w:r w:rsidR="002557F8" w:rsidRPr="003D7EBC">
        <w:t xml:space="preserve"> or haematology clinicians to provide additional advice. </w:t>
      </w:r>
      <w:r w:rsidR="008C3D40">
        <w:t>The Laboratory should also take responsibility for communicating abnormal results which will impact transfusion support (</w:t>
      </w:r>
      <w:r w:rsidR="00D84303">
        <w:t>e.g.,</w:t>
      </w:r>
      <w:r w:rsidR="008C3D40">
        <w:t xml:space="preserve"> Hb, coagulation screen, fibrinogen)</w:t>
      </w:r>
      <w:r w:rsidR="00395DFE">
        <w:t>.</w:t>
      </w:r>
    </w:p>
    <w:p w14:paraId="204BC5B6" w14:textId="77777777" w:rsidR="000C30D2" w:rsidRPr="00D80759" w:rsidRDefault="000C30D2" w:rsidP="000C30D2">
      <w:pPr>
        <w:spacing w:before="120" w:line="480" w:lineRule="auto"/>
        <w:outlineLvl w:val="0"/>
        <w:rPr>
          <w:b/>
          <w:bCs/>
          <w:sz w:val="24"/>
          <w:szCs w:val="24"/>
        </w:rPr>
      </w:pPr>
      <w:r w:rsidRPr="00D80759">
        <w:rPr>
          <w:b/>
          <w:bCs/>
          <w:sz w:val="24"/>
          <w:szCs w:val="24"/>
        </w:rPr>
        <w:t>Viscoelastic tests in major haemorrhage</w:t>
      </w:r>
    </w:p>
    <w:p w14:paraId="15EC99F5" w14:textId="3D827C5A" w:rsidR="000C30D2" w:rsidRPr="000C30D2" w:rsidRDefault="000C30D2" w:rsidP="000C30D2">
      <w:pPr>
        <w:spacing w:line="480" w:lineRule="auto"/>
        <w:jc w:val="both"/>
        <w:rPr>
          <w:sz w:val="24"/>
          <w:szCs w:val="24"/>
          <w:vertAlign w:val="superscript"/>
        </w:rPr>
      </w:pPr>
      <w:r w:rsidRPr="009E31F1">
        <w:rPr>
          <w:sz w:val="24"/>
          <w:szCs w:val="24"/>
        </w:rPr>
        <w:t xml:space="preserve">Practical guidance on the selection of </w:t>
      </w:r>
      <w:bookmarkStart w:id="2" w:name="_Hlk101082511"/>
      <w:r w:rsidRPr="009E31F1">
        <w:rPr>
          <w:sz w:val="24"/>
          <w:szCs w:val="24"/>
        </w:rPr>
        <w:t>parameters to use for viscoelastic tests</w:t>
      </w:r>
      <w:bookmarkEnd w:id="2"/>
      <w:r w:rsidRPr="009E31F1">
        <w:rPr>
          <w:sz w:val="24"/>
          <w:szCs w:val="24"/>
        </w:rPr>
        <w:t xml:space="preserve"> in major haemorrhage is beyond the scope of this guideline, and the reader is referred to BSH guidelines on the use of viscoelastic haemostatic</w:t>
      </w:r>
      <w:r w:rsidRPr="009E31F1">
        <w:rPr>
          <w:sz w:val="24"/>
          <w:szCs w:val="24"/>
          <w:lang w:eastAsia="en-US"/>
        </w:rPr>
        <w:t xml:space="preserve"> assays</w:t>
      </w:r>
      <w:r w:rsidRPr="000C30D2">
        <w:rPr>
          <w:sz w:val="24"/>
          <w:szCs w:val="24"/>
        </w:rPr>
        <w:t>.</w:t>
      </w:r>
      <w:r w:rsidR="00355E8F">
        <w:rPr>
          <w:sz w:val="24"/>
          <w:szCs w:val="24"/>
          <w:vertAlign w:val="superscript"/>
        </w:rPr>
        <w:t>3</w:t>
      </w:r>
      <w:r w:rsidRPr="000C30D2">
        <w:rPr>
          <w:sz w:val="24"/>
          <w:szCs w:val="24"/>
        </w:rPr>
        <w:t xml:space="preserve"> An example of a transfusion algorithm for trauma is provided in Table </w:t>
      </w:r>
      <w:r w:rsidR="00B241AB">
        <w:rPr>
          <w:sz w:val="24"/>
          <w:szCs w:val="24"/>
        </w:rPr>
        <w:t>3</w:t>
      </w:r>
      <w:r w:rsidRPr="000C30D2">
        <w:rPr>
          <w:sz w:val="24"/>
          <w:szCs w:val="24"/>
        </w:rPr>
        <w:t>, based on a process for developing, validation and testing in a clinical trial.</w:t>
      </w:r>
      <w:r w:rsidR="00355E8F">
        <w:rPr>
          <w:sz w:val="24"/>
          <w:szCs w:val="24"/>
          <w:vertAlign w:val="superscript"/>
        </w:rPr>
        <w:t>4</w:t>
      </w:r>
    </w:p>
    <w:p w14:paraId="6D045B58" w14:textId="2DB2CF86" w:rsidR="00EC2C2C" w:rsidRPr="003D7EBC" w:rsidRDefault="00EC2C2C" w:rsidP="00772562">
      <w:pPr>
        <w:keepNext/>
        <w:keepLines/>
        <w:spacing w:before="120" w:line="480" w:lineRule="auto"/>
        <w:outlineLvl w:val="0"/>
        <w:rPr>
          <w:b/>
          <w:bCs/>
          <w:sz w:val="24"/>
          <w:szCs w:val="24"/>
        </w:rPr>
      </w:pPr>
      <w:r w:rsidRPr="003D7EBC">
        <w:rPr>
          <w:b/>
          <w:bCs/>
          <w:sz w:val="24"/>
          <w:szCs w:val="24"/>
        </w:rPr>
        <w:t xml:space="preserve">Patient identification and </w:t>
      </w:r>
      <w:r w:rsidR="002D31C8" w:rsidRPr="003D7EBC">
        <w:rPr>
          <w:b/>
          <w:bCs/>
          <w:sz w:val="24"/>
          <w:szCs w:val="24"/>
        </w:rPr>
        <w:t xml:space="preserve">group and screen </w:t>
      </w:r>
      <w:r w:rsidRPr="003D7EBC">
        <w:rPr>
          <w:b/>
          <w:bCs/>
          <w:sz w:val="24"/>
          <w:szCs w:val="24"/>
        </w:rPr>
        <w:t>sampl</w:t>
      </w:r>
      <w:r w:rsidR="002D31C8" w:rsidRPr="003D7EBC">
        <w:rPr>
          <w:b/>
          <w:bCs/>
          <w:sz w:val="24"/>
          <w:szCs w:val="24"/>
        </w:rPr>
        <w:t>e</w:t>
      </w:r>
    </w:p>
    <w:p w14:paraId="570E68AB" w14:textId="50AABC4B" w:rsidR="00D44AD6" w:rsidRDefault="00951EEC" w:rsidP="00772562">
      <w:pPr>
        <w:spacing w:line="480" w:lineRule="auto"/>
        <w:outlineLvl w:val="0"/>
        <w:rPr>
          <w:rFonts w:eastAsia="MS Mincho"/>
          <w:sz w:val="24"/>
          <w:szCs w:val="24"/>
        </w:rPr>
      </w:pPr>
      <w:r w:rsidRPr="003D7EBC">
        <w:rPr>
          <w:i/>
          <w:iCs/>
          <w:sz w:val="24"/>
          <w:szCs w:val="24"/>
        </w:rPr>
        <w:t>Patient identification</w:t>
      </w:r>
      <w:r w:rsidR="00E23736" w:rsidRPr="003D7EBC">
        <w:rPr>
          <w:i/>
          <w:iCs/>
          <w:sz w:val="24"/>
          <w:szCs w:val="24"/>
        </w:rPr>
        <w:t>.</w:t>
      </w:r>
    </w:p>
    <w:p w14:paraId="01ED0ED5" w14:textId="52FDBC21" w:rsidR="00951EEC" w:rsidRPr="009A4E93" w:rsidRDefault="00CC4D7F" w:rsidP="00772562">
      <w:pPr>
        <w:spacing w:line="480" w:lineRule="auto"/>
        <w:outlineLvl w:val="0"/>
        <w:rPr>
          <w:rFonts w:eastAsia="MS Mincho"/>
          <w:sz w:val="24"/>
          <w:szCs w:val="24"/>
        </w:rPr>
      </w:pPr>
      <w:r w:rsidRPr="003D7EBC">
        <w:rPr>
          <w:rFonts w:eastAsia="MS Mincho"/>
          <w:sz w:val="24"/>
          <w:szCs w:val="24"/>
          <w:lang w:eastAsia="ja-JP"/>
        </w:rPr>
        <w:t xml:space="preserve">Hospitals must have clear guidelines </w:t>
      </w:r>
      <w:r w:rsidR="003D7EBC" w:rsidRPr="009A4E93">
        <w:rPr>
          <w:rFonts w:eastAsia="MS Mincho"/>
          <w:sz w:val="24"/>
          <w:szCs w:val="24"/>
          <w:lang w:eastAsia="ja-JP"/>
        </w:rPr>
        <w:t>for positive patient identification for both known and unknown patients</w:t>
      </w:r>
      <w:r w:rsidR="00C246CE">
        <w:rPr>
          <w:rFonts w:eastAsia="MS Mincho"/>
          <w:sz w:val="24"/>
          <w:szCs w:val="24"/>
          <w:lang w:eastAsia="ja-JP"/>
        </w:rPr>
        <w:t xml:space="preserve"> (see </w:t>
      </w:r>
      <w:r w:rsidR="009E6E15">
        <w:rPr>
          <w:rFonts w:eastAsia="MS Mincho"/>
          <w:sz w:val="24"/>
          <w:szCs w:val="24"/>
          <w:lang w:eastAsia="ja-JP"/>
        </w:rPr>
        <w:t>T</w:t>
      </w:r>
      <w:r w:rsidR="00C246CE">
        <w:rPr>
          <w:rFonts w:eastAsia="MS Mincho"/>
          <w:sz w:val="24"/>
          <w:szCs w:val="24"/>
          <w:lang w:eastAsia="ja-JP"/>
        </w:rPr>
        <w:t xml:space="preserve">able </w:t>
      </w:r>
      <w:r w:rsidR="00B241AB">
        <w:rPr>
          <w:rFonts w:eastAsia="MS Mincho"/>
          <w:sz w:val="24"/>
          <w:szCs w:val="24"/>
          <w:lang w:eastAsia="ja-JP"/>
        </w:rPr>
        <w:t>4</w:t>
      </w:r>
      <w:r w:rsidR="00C246CE">
        <w:rPr>
          <w:rFonts w:eastAsia="MS Mincho"/>
          <w:sz w:val="24"/>
          <w:szCs w:val="24"/>
          <w:lang w:eastAsia="ja-JP"/>
        </w:rPr>
        <w:t>)</w:t>
      </w:r>
      <w:r w:rsidR="00951EEC" w:rsidRPr="003D7EBC">
        <w:rPr>
          <w:sz w:val="24"/>
          <w:szCs w:val="24"/>
        </w:rPr>
        <w:t xml:space="preserve">. </w:t>
      </w:r>
      <w:r w:rsidR="008F4C45" w:rsidRPr="003D7EBC">
        <w:rPr>
          <w:sz w:val="24"/>
          <w:szCs w:val="24"/>
        </w:rPr>
        <w:t xml:space="preserve">During mass casualties or other emergency situations, where </w:t>
      </w:r>
      <w:r w:rsidR="005D7581" w:rsidRPr="003D7EBC">
        <w:rPr>
          <w:sz w:val="24"/>
          <w:szCs w:val="24"/>
        </w:rPr>
        <w:t xml:space="preserve">the </w:t>
      </w:r>
      <w:r w:rsidR="00951EEC" w:rsidRPr="003D7EBC">
        <w:rPr>
          <w:sz w:val="24"/>
          <w:szCs w:val="24"/>
        </w:rPr>
        <w:t>patient’s identity may be unknown</w:t>
      </w:r>
      <w:r w:rsidR="008F4C45" w:rsidRPr="003D7EBC">
        <w:rPr>
          <w:sz w:val="24"/>
          <w:szCs w:val="24"/>
        </w:rPr>
        <w:t>, a system</w:t>
      </w:r>
      <w:r w:rsidR="00B33847" w:rsidRPr="003D7EBC">
        <w:rPr>
          <w:sz w:val="24"/>
          <w:szCs w:val="24"/>
        </w:rPr>
        <w:t xml:space="preserve"> </w:t>
      </w:r>
      <w:r w:rsidR="004B7660" w:rsidRPr="003D7EBC">
        <w:rPr>
          <w:sz w:val="24"/>
          <w:szCs w:val="24"/>
        </w:rPr>
        <w:t xml:space="preserve">must </w:t>
      </w:r>
      <w:r w:rsidR="00B33847" w:rsidRPr="003D7EBC">
        <w:rPr>
          <w:sz w:val="24"/>
          <w:szCs w:val="24"/>
        </w:rPr>
        <w:t>be in place</w:t>
      </w:r>
      <w:r w:rsidR="008F4C45" w:rsidRPr="003D7EBC">
        <w:rPr>
          <w:sz w:val="24"/>
          <w:szCs w:val="24"/>
        </w:rPr>
        <w:t xml:space="preserve"> </w:t>
      </w:r>
      <w:r w:rsidR="00951EEC" w:rsidRPr="003D7EBC">
        <w:rPr>
          <w:sz w:val="24"/>
          <w:szCs w:val="24"/>
        </w:rPr>
        <w:t>for the identification of unknown patients</w:t>
      </w:r>
      <w:r w:rsidR="00A157BB" w:rsidRPr="003D7EBC">
        <w:rPr>
          <w:sz w:val="24"/>
          <w:szCs w:val="24"/>
        </w:rPr>
        <w:t>.</w:t>
      </w:r>
      <w:r w:rsidR="00951EEC" w:rsidRPr="003D7EBC">
        <w:rPr>
          <w:sz w:val="24"/>
          <w:szCs w:val="24"/>
        </w:rPr>
        <w:t xml:space="preserve"> At least one unique identifier must be used (</w:t>
      </w:r>
      <w:r w:rsidR="008F4C45" w:rsidRPr="003D7EBC">
        <w:rPr>
          <w:sz w:val="24"/>
          <w:szCs w:val="24"/>
        </w:rPr>
        <w:t>e.g.</w:t>
      </w:r>
      <w:r w:rsidR="002D31C8" w:rsidRPr="003D7EBC">
        <w:rPr>
          <w:sz w:val="24"/>
          <w:szCs w:val="24"/>
        </w:rPr>
        <w:t>,</w:t>
      </w:r>
      <w:r w:rsidR="008F4C45" w:rsidRPr="003D7EBC">
        <w:rPr>
          <w:sz w:val="24"/>
          <w:szCs w:val="24"/>
        </w:rPr>
        <w:t xml:space="preserve"> a </w:t>
      </w:r>
      <w:r w:rsidR="00951EEC" w:rsidRPr="003D7EBC">
        <w:rPr>
          <w:sz w:val="24"/>
          <w:szCs w:val="24"/>
        </w:rPr>
        <w:t>randomly generated</w:t>
      </w:r>
      <w:r w:rsidR="008F4C45" w:rsidRPr="003D7EBC">
        <w:rPr>
          <w:sz w:val="24"/>
          <w:szCs w:val="24"/>
        </w:rPr>
        <w:t xml:space="preserve"> </w:t>
      </w:r>
      <w:r w:rsidR="00951EEC" w:rsidRPr="003D7EBC">
        <w:rPr>
          <w:sz w:val="24"/>
          <w:szCs w:val="24"/>
        </w:rPr>
        <w:t>7 digit</w:t>
      </w:r>
      <w:r w:rsidR="005D7581" w:rsidRPr="003D7EBC">
        <w:rPr>
          <w:sz w:val="24"/>
          <w:szCs w:val="24"/>
        </w:rPr>
        <w:t xml:space="preserve"> number</w:t>
      </w:r>
      <w:r w:rsidR="00951EEC" w:rsidRPr="003D7EBC">
        <w:rPr>
          <w:sz w:val="24"/>
          <w:szCs w:val="24"/>
        </w:rPr>
        <w:t xml:space="preserve"> with a prefix), a naming convention </w:t>
      </w:r>
      <w:r w:rsidR="00951EEC" w:rsidRPr="003D7EBC">
        <w:rPr>
          <w:sz w:val="24"/>
          <w:szCs w:val="24"/>
        </w:rPr>
        <w:lastRenderedPageBreak/>
        <w:t xml:space="preserve">(suggest randomly generated from an edited phonetic alphabet), a date-of-birth system and the patient’s </w:t>
      </w:r>
      <w:r w:rsidR="00F33CD4">
        <w:rPr>
          <w:sz w:val="24"/>
          <w:szCs w:val="24"/>
        </w:rPr>
        <w:t>sex</w:t>
      </w:r>
      <w:r w:rsidR="00951EEC" w:rsidRPr="003D7EBC">
        <w:rPr>
          <w:sz w:val="24"/>
          <w:szCs w:val="24"/>
        </w:rPr>
        <w:t>.</w:t>
      </w:r>
      <w:r w:rsidR="00371A11">
        <w:rPr>
          <w:sz w:val="24"/>
          <w:szCs w:val="24"/>
          <w:vertAlign w:val="superscript"/>
        </w:rPr>
        <w:t>5,</w:t>
      </w:r>
      <w:r w:rsidR="002A330F">
        <w:rPr>
          <w:sz w:val="24"/>
          <w:szCs w:val="24"/>
          <w:vertAlign w:val="superscript"/>
        </w:rPr>
        <w:t>6,7</w:t>
      </w:r>
      <w:r w:rsidR="004D7A79" w:rsidDel="004D7A79">
        <w:rPr>
          <w:sz w:val="24"/>
          <w:szCs w:val="24"/>
          <w:vertAlign w:val="superscript"/>
        </w:rPr>
        <w:t xml:space="preserve"> </w:t>
      </w:r>
      <w:r w:rsidR="003D7EBC" w:rsidRPr="009A4E93">
        <w:rPr>
          <w:rFonts w:eastAsia="MS Mincho"/>
          <w:sz w:val="24"/>
          <w:szCs w:val="24"/>
          <w:lang w:eastAsia="ja-JP"/>
        </w:rPr>
        <w:t>When changing from ‘Emergency’ or ‘Major Incident’ identifiers’ to ‘Routine’ identifiers, it may be safer to defer ID changes until after emergency surgery.</w:t>
      </w:r>
    </w:p>
    <w:p w14:paraId="07E42B9D" w14:textId="21DEFAD1" w:rsidR="00E7714D" w:rsidRDefault="00982678">
      <w:pPr>
        <w:spacing w:line="480" w:lineRule="auto"/>
        <w:outlineLvl w:val="0"/>
        <w:rPr>
          <w:sz w:val="24"/>
          <w:szCs w:val="24"/>
        </w:rPr>
      </w:pPr>
      <w:r w:rsidRPr="003D7EBC">
        <w:rPr>
          <w:i/>
          <w:iCs/>
          <w:sz w:val="24"/>
          <w:szCs w:val="24"/>
        </w:rPr>
        <w:t xml:space="preserve">The </w:t>
      </w:r>
      <w:r w:rsidR="004B7660" w:rsidRPr="003D7EBC">
        <w:rPr>
          <w:i/>
          <w:iCs/>
          <w:sz w:val="24"/>
          <w:szCs w:val="24"/>
        </w:rPr>
        <w:t>g</w:t>
      </w:r>
      <w:r w:rsidR="008E0E94" w:rsidRPr="003D7EBC">
        <w:rPr>
          <w:i/>
          <w:iCs/>
          <w:sz w:val="24"/>
          <w:szCs w:val="24"/>
        </w:rPr>
        <w:t xml:space="preserve">roup </w:t>
      </w:r>
      <w:r w:rsidR="009A4C98" w:rsidRPr="0041287C">
        <w:rPr>
          <w:i/>
          <w:iCs/>
          <w:sz w:val="24"/>
          <w:szCs w:val="24"/>
        </w:rPr>
        <w:t xml:space="preserve">and screen </w:t>
      </w:r>
      <w:r w:rsidRPr="003D7EBC">
        <w:rPr>
          <w:i/>
          <w:iCs/>
          <w:sz w:val="24"/>
          <w:szCs w:val="24"/>
        </w:rPr>
        <w:t>sample</w:t>
      </w:r>
      <w:r w:rsidR="00E23736" w:rsidRPr="003D7EBC">
        <w:rPr>
          <w:i/>
          <w:iCs/>
          <w:sz w:val="24"/>
          <w:szCs w:val="24"/>
        </w:rPr>
        <w:t>.</w:t>
      </w:r>
      <w:r w:rsidRPr="003D7EBC">
        <w:rPr>
          <w:i/>
          <w:iCs/>
          <w:sz w:val="24"/>
          <w:szCs w:val="24"/>
        </w:rPr>
        <w:t xml:space="preserve"> </w:t>
      </w:r>
      <w:r w:rsidR="00FB393C" w:rsidRPr="003D7EBC">
        <w:rPr>
          <w:sz w:val="24"/>
          <w:szCs w:val="24"/>
        </w:rPr>
        <w:t xml:space="preserve">Samples </w:t>
      </w:r>
      <w:r w:rsidR="004B7660" w:rsidRPr="003D7EBC">
        <w:rPr>
          <w:sz w:val="24"/>
          <w:szCs w:val="24"/>
        </w:rPr>
        <w:t xml:space="preserve">must </w:t>
      </w:r>
      <w:r w:rsidR="00037A3A" w:rsidRPr="003D7EBC">
        <w:rPr>
          <w:sz w:val="24"/>
          <w:szCs w:val="24"/>
        </w:rPr>
        <w:t>be hand-</w:t>
      </w:r>
      <w:r w:rsidR="00E70195">
        <w:rPr>
          <w:sz w:val="24"/>
          <w:szCs w:val="24"/>
        </w:rPr>
        <w:t>written</w:t>
      </w:r>
      <w:r w:rsidR="00037A3A" w:rsidRPr="003D7EBC">
        <w:rPr>
          <w:sz w:val="24"/>
          <w:szCs w:val="24"/>
        </w:rPr>
        <w:t xml:space="preserve"> or electronically labelled at the patient’s sid</w:t>
      </w:r>
      <w:r w:rsidR="003D7EBC" w:rsidRPr="009A4E93">
        <w:rPr>
          <w:sz w:val="24"/>
          <w:szCs w:val="24"/>
        </w:rPr>
        <w:t>e</w:t>
      </w:r>
      <w:r w:rsidR="009A4E93">
        <w:rPr>
          <w:sz w:val="24"/>
          <w:szCs w:val="24"/>
        </w:rPr>
        <w:t xml:space="preserve"> </w:t>
      </w:r>
      <w:r w:rsidR="00037A3A" w:rsidRPr="003D7EBC">
        <w:rPr>
          <w:sz w:val="24"/>
          <w:szCs w:val="24"/>
        </w:rPr>
        <w:t xml:space="preserve">(Table </w:t>
      </w:r>
      <w:r w:rsidR="00B241AB">
        <w:rPr>
          <w:sz w:val="24"/>
          <w:szCs w:val="24"/>
        </w:rPr>
        <w:t>4</w:t>
      </w:r>
      <w:r w:rsidR="00037A3A" w:rsidRPr="003D7EBC">
        <w:rPr>
          <w:sz w:val="24"/>
          <w:szCs w:val="24"/>
        </w:rPr>
        <w:t>); the patient</w:t>
      </w:r>
      <w:r w:rsidR="0009354E">
        <w:rPr>
          <w:sz w:val="24"/>
          <w:szCs w:val="24"/>
        </w:rPr>
        <w:t>’s</w:t>
      </w:r>
      <w:r w:rsidR="00037A3A" w:rsidRPr="003D7EBC">
        <w:rPr>
          <w:sz w:val="24"/>
          <w:szCs w:val="24"/>
        </w:rPr>
        <w:t xml:space="preserve"> details on the blood sample tube </w:t>
      </w:r>
      <w:r w:rsidR="008A0572" w:rsidRPr="003D7EBC">
        <w:rPr>
          <w:sz w:val="24"/>
          <w:szCs w:val="24"/>
        </w:rPr>
        <w:t xml:space="preserve">must </w:t>
      </w:r>
      <w:r w:rsidR="00037A3A" w:rsidRPr="003D7EBC">
        <w:rPr>
          <w:sz w:val="24"/>
          <w:szCs w:val="24"/>
        </w:rPr>
        <w:t>match the patient</w:t>
      </w:r>
      <w:r w:rsidR="0009354E">
        <w:rPr>
          <w:sz w:val="24"/>
          <w:szCs w:val="24"/>
        </w:rPr>
        <w:t>’s</w:t>
      </w:r>
      <w:r w:rsidR="00037A3A" w:rsidRPr="003D7EBC">
        <w:rPr>
          <w:sz w:val="24"/>
          <w:szCs w:val="24"/>
        </w:rPr>
        <w:t xml:space="preserve"> ID band and the request form.</w:t>
      </w:r>
      <w:r w:rsidR="00865FF7" w:rsidRPr="003D7EBC" w:rsidDel="00865FF7">
        <w:rPr>
          <w:sz w:val="24"/>
          <w:szCs w:val="24"/>
          <w:vertAlign w:val="superscript"/>
        </w:rPr>
        <w:t xml:space="preserve"> </w:t>
      </w:r>
      <w:r w:rsidR="00371A11">
        <w:rPr>
          <w:sz w:val="24"/>
          <w:szCs w:val="24"/>
          <w:vertAlign w:val="superscript"/>
        </w:rPr>
        <w:t>5,6</w:t>
      </w:r>
      <w:r w:rsidR="00440899">
        <w:rPr>
          <w:sz w:val="24"/>
          <w:szCs w:val="24"/>
          <w:vertAlign w:val="superscript"/>
        </w:rPr>
        <w:t>,</w:t>
      </w:r>
      <w:r w:rsidR="002A330F">
        <w:rPr>
          <w:sz w:val="24"/>
          <w:szCs w:val="24"/>
          <w:vertAlign w:val="superscript"/>
        </w:rPr>
        <w:t>7,8</w:t>
      </w:r>
      <w:r w:rsidR="00037A3A" w:rsidRPr="003D7EBC">
        <w:rPr>
          <w:sz w:val="24"/>
          <w:szCs w:val="24"/>
        </w:rPr>
        <w:t xml:space="preserve"> </w:t>
      </w:r>
      <w:r w:rsidR="00E7714D">
        <w:rPr>
          <w:sz w:val="24"/>
          <w:szCs w:val="24"/>
        </w:rPr>
        <w:t>Electronic systems for patient identification should help minimise wrong blood in tube errors.</w:t>
      </w:r>
      <w:r w:rsidR="00E7714D">
        <w:rPr>
          <w:sz w:val="24"/>
          <w:szCs w:val="24"/>
          <w:vertAlign w:val="superscript"/>
        </w:rPr>
        <w:t xml:space="preserve">9 </w:t>
      </w:r>
      <w:r w:rsidR="004D7A79">
        <w:rPr>
          <w:sz w:val="24"/>
          <w:szCs w:val="24"/>
        </w:rPr>
        <w:t>A secure electronic patient identification system includes systems which identify the patient from the ID band and ensure the sample is labelled at the bedside by re-scanning of the ID band within a set time span.</w:t>
      </w:r>
      <w:r w:rsidR="00D51A5F">
        <w:rPr>
          <w:sz w:val="24"/>
          <w:szCs w:val="24"/>
        </w:rPr>
        <w:t xml:space="preserve">  </w:t>
      </w:r>
      <w:r w:rsidR="00C94F14" w:rsidRPr="000D1B5C">
        <w:rPr>
          <w:sz w:val="24"/>
          <w:szCs w:val="24"/>
        </w:rPr>
        <w:t xml:space="preserve">There should be zero tolerance of </w:t>
      </w:r>
      <w:r w:rsidR="00E7714D">
        <w:rPr>
          <w:sz w:val="24"/>
          <w:szCs w:val="24"/>
        </w:rPr>
        <w:t>incorrect</w:t>
      </w:r>
      <w:r w:rsidR="000E32E3">
        <w:rPr>
          <w:sz w:val="24"/>
          <w:szCs w:val="24"/>
        </w:rPr>
        <w:t xml:space="preserve"> </w:t>
      </w:r>
      <w:r w:rsidR="00C94F14" w:rsidRPr="000D1B5C">
        <w:rPr>
          <w:sz w:val="24"/>
          <w:szCs w:val="24"/>
        </w:rPr>
        <w:t>patient identifiers even in the emergency situation</w:t>
      </w:r>
      <w:r w:rsidR="000D1B5C">
        <w:rPr>
          <w:sz w:val="24"/>
          <w:szCs w:val="24"/>
        </w:rPr>
        <w:t>.</w:t>
      </w:r>
      <w:r w:rsidR="00C94F14" w:rsidRPr="000D1B5C">
        <w:rPr>
          <w:sz w:val="24"/>
          <w:szCs w:val="24"/>
        </w:rPr>
        <w:t xml:space="preserve"> </w:t>
      </w:r>
      <w:r w:rsidR="002A330F">
        <w:rPr>
          <w:sz w:val="24"/>
          <w:szCs w:val="24"/>
          <w:vertAlign w:val="superscript"/>
        </w:rPr>
        <w:t xml:space="preserve"> </w:t>
      </w:r>
      <w:r w:rsidR="00D935DF">
        <w:rPr>
          <w:sz w:val="24"/>
          <w:szCs w:val="24"/>
        </w:rPr>
        <w:t>Therefore, t</w:t>
      </w:r>
      <w:r w:rsidR="00C94F14" w:rsidRPr="000D1B5C">
        <w:rPr>
          <w:sz w:val="24"/>
          <w:szCs w:val="24"/>
        </w:rPr>
        <w:t>he laboratory must have a protocol in place to avoid delays to component provision in a major haemorrhage scenario caused by incorrect sample labelling (e.g.</w:t>
      </w:r>
      <w:r w:rsidR="00247183">
        <w:rPr>
          <w:sz w:val="24"/>
          <w:szCs w:val="24"/>
        </w:rPr>
        <w:t>,</w:t>
      </w:r>
      <w:r w:rsidR="00C94F14" w:rsidRPr="000D1B5C">
        <w:rPr>
          <w:sz w:val="24"/>
          <w:szCs w:val="24"/>
        </w:rPr>
        <w:t xml:space="preserve"> </w:t>
      </w:r>
      <w:r w:rsidR="00206EB6">
        <w:rPr>
          <w:sz w:val="24"/>
          <w:szCs w:val="24"/>
        </w:rPr>
        <w:t>release of universal components</w:t>
      </w:r>
      <w:r w:rsidR="00E7714D">
        <w:rPr>
          <w:sz w:val="24"/>
          <w:szCs w:val="24"/>
        </w:rPr>
        <w:t>)</w:t>
      </w:r>
      <w:r w:rsidR="00AF7BCC">
        <w:rPr>
          <w:sz w:val="24"/>
          <w:szCs w:val="24"/>
        </w:rPr>
        <w:t>.</w:t>
      </w:r>
      <w:r w:rsidR="00C94F14" w:rsidRPr="000D1B5C">
        <w:rPr>
          <w:sz w:val="24"/>
          <w:szCs w:val="24"/>
        </w:rPr>
        <w:t xml:space="preserve"> </w:t>
      </w:r>
    </w:p>
    <w:p w14:paraId="5A77AADD" w14:textId="5DDD2513" w:rsidR="00037A3A" w:rsidRPr="003D7EBC" w:rsidRDefault="00037A3A">
      <w:pPr>
        <w:spacing w:line="480" w:lineRule="auto"/>
        <w:outlineLvl w:val="0"/>
        <w:rPr>
          <w:sz w:val="24"/>
          <w:szCs w:val="24"/>
        </w:rPr>
      </w:pPr>
      <w:r w:rsidRPr="003D7EBC">
        <w:rPr>
          <w:sz w:val="24"/>
          <w:szCs w:val="24"/>
        </w:rPr>
        <w:t xml:space="preserve">A written, or electronic request must be sent to the laboratory with a sample. If a </w:t>
      </w:r>
      <w:r w:rsidR="004B7660" w:rsidRPr="003D7EBC">
        <w:rPr>
          <w:sz w:val="24"/>
          <w:szCs w:val="24"/>
        </w:rPr>
        <w:t xml:space="preserve">valid </w:t>
      </w:r>
      <w:r w:rsidRPr="003D7EBC">
        <w:rPr>
          <w:sz w:val="24"/>
          <w:szCs w:val="24"/>
        </w:rPr>
        <w:t xml:space="preserve">sample is already in the laboratory (e.g., previous group and screen), then in an emergency, the request may be telephoned, but there should be clear methods of documentation to reduce the risk of transcription error.  </w:t>
      </w:r>
    </w:p>
    <w:p w14:paraId="1A27AB92" w14:textId="650FB46F" w:rsidR="00520534" w:rsidRPr="003D7EBC" w:rsidRDefault="00520534" w:rsidP="00520534">
      <w:pPr>
        <w:spacing w:line="480" w:lineRule="auto"/>
        <w:ind w:right="26"/>
        <w:rPr>
          <w:sz w:val="24"/>
          <w:szCs w:val="24"/>
        </w:rPr>
      </w:pPr>
      <w:bookmarkStart w:id="3" w:name="_Hlk96666573"/>
      <w:r w:rsidRPr="003D7EBC">
        <w:rPr>
          <w:sz w:val="24"/>
          <w:szCs w:val="24"/>
        </w:rPr>
        <w:t>In the case of patients with an unknown identity</w:t>
      </w:r>
      <w:bookmarkEnd w:id="3"/>
      <w:r w:rsidRPr="003D7EBC">
        <w:rPr>
          <w:sz w:val="24"/>
          <w:szCs w:val="24"/>
        </w:rPr>
        <w:t>, then the patient should continue to be transfused on the emergency identification, until the record is merged and updated</w:t>
      </w:r>
      <w:r w:rsidR="00355764" w:rsidRPr="003D7EBC">
        <w:rPr>
          <w:sz w:val="24"/>
          <w:szCs w:val="24"/>
        </w:rPr>
        <w:t>,</w:t>
      </w:r>
      <w:r w:rsidRPr="003D7EBC">
        <w:rPr>
          <w:sz w:val="24"/>
          <w:szCs w:val="24"/>
        </w:rPr>
        <w:t xml:space="preserve"> and a new, fully labelled sample is </w:t>
      </w:r>
      <w:r w:rsidR="00533C54" w:rsidRPr="003D7EBC">
        <w:rPr>
          <w:sz w:val="24"/>
          <w:szCs w:val="24"/>
        </w:rPr>
        <w:t>collected</w:t>
      </w:r>
      <w:r w:rsidR="004B7660" w:rsidRPr="003D7EBC">
        <w:rPr>
          <w:sz w:val="24"/>
          <w:szCs w:val="24"/>
        </w:rPr>
        <w:t xml:space="preserve"> and fully tested in preparation for release of components labelled with the updated identity.</w:t>
      </w:r>
      <w:r w:rsidRPr="003D7EBC">
        <w:rPr>
          <w:sz w:val="24"/>
          <w:szCs w:val="24"/>
        </w:rPr>
        <w:t xml:space="preserve"> In all cases the details on the blood component identity tag must match the details on the patient ID band or be labelled as emergency blood.</w:t>
      </w:r>
    </w:p>
    <w:p w14:paraId="682561A8" w14:textId="0613247C" w:rsidR="00037A3A" w:rsidRPr="003D7EBC" w:rsidRDefault="000B13CE" w:rsidP="00772562">
      <w:pPr>
        <w:spacing w:line="480" w:lineRule="auto"/>
        <w:outlineLvl w:val="0"/>
        <w:rPr>
          <w:sz w:val="24"/>
          <w:szCs w:val="24"/>
        </w:rPr>
      </w:pPr>
      <w:r w:rsidRPr="003D7EBC">
        <w:rPr>
          <w:sz w:val="24"/>
          <w:szCs w:val="24"/>
        </w:rPr>
        <w:lastRenderedPageBreak/>
        <w:t xml:space="preserve">There must be an agreed policy for confirmation of the blood group for </w:t>
      </w:r>
      <w:r w:rsidR="004B7660" w:rsidRPr="003D7EBC">
        <w:rPr>
          <w:sz w:val="24"/>
          <w:szCs w:val="24"/>
        </w:rPr>
        <w:t>patients without a blood group on the LIMS</w:t>
      </w:r>
      <w:r w:rsidRPr="003D7EBC">
        <w:rPr>
          <w:sz w:val="24"/>
          <w:szCs w:val="24"/>
        </w:rPr>
        <w:t xml:space="preserve"> and </w:t>
      </w:r>
      <w:r w:rsidR="004B7660" w:rsidRPr="003D7EBC">
        <w:rPr>
          <w:sz w:val="24"/>
          <w:szCs w:val="24"/>
        </w:rPr>
        <w:t xml:space="preserve">for the prioritisation of testing samples for </w:t>
      </w:r>
      <w:r w:rsidRPr="003D7EBC">
        <w:rPr>
          <w:sz w:val="24"/>
          <w:szCs w:val="24"/>
        </w:rPr>
        <w:t>major haemorrhage case</w:t>
      </w:r>
      <w:r w:rsidR="004B7660" w:rsidRPr="003D7EBC">
        <w:rPr>
          <w:sz w:val="24"/>
          <w:szCs w:val="24"/>
        </w:rPr>
        <w:t>s</w:t>
      </w:r>
      <w:r w:rsidRPr="003D7EBC">
        <w:rPr>
          <w:sz w:val="24"/>
          <w:szCs w:val="24"/>
        </w:rPr>
        <w:t>.</w:t>
      </w:r>
      <w:r w:rsidR="00520534" w:rsidRPr="003D7EBC">
        <w:rPr>
          <w:sz w:val="24"/>
          <w:szCs w:val="24"/>
        </w:rPr>
        <w:t xml:space="preserve"> </w:t>
      </w:r>
      <w:r w:rsidR="00037A3A" w:rsidRPr="003D7EBC">
        <w:rPr>
          <w:sz w:val="24"/>
          <w:szCs w:val="24"/>
        </w:rPr>
        <w:t xml:space="preserve">Unless a secure electronic patient identification system is in place, a second sample should be obtained to confirm the ABO group of </w:t>
      </w:r>
      <w:r w:rsidR="00CC1FD5" w:rsidRPr="003D7EBC">
        <w:rPr>
          <w:sz w:val="24"/>
          <w:szCs w:val="24"/>
        </w:rPr>
        <w:t>patients with no historic blood group on record</w:t>
      </w:r>
      <w:r w:rsidR="00037A3A" w:rsidRPr="003D7EBC">
        <w:rPr>
          <w:sz w:val="24"/>
          <w:szCs w:val="24"/>
        </w:rPr>
        <w:t xml:space="preserve"> before </w:t>
      </w:r>
      <w:r w:rsidR="00885EBC">
        <w:rPr>
          <w:sz w:val="24"/>
          <w:szCs w:val="24"/>
        </w:rPr>
        <w:t xml:space="preserve">group compatible </w:t>
      </w:r>
      <w:r w:rsidR="00037A3A" w:rsidRPr="003D7EBC">
        <w:rPr>
          <w:sz w:val="24"/>
          <w:szCs w:val="24"/>
        </w:rPr>
        <w:t>transfusion</w:t>
      </w:r>
      <w:r w:rsidR="00885EBC">
        <w:rPr>
          <w:sz w:val="24"/>
          <w:szCs w:val="24"/>
        </w:rPr>
        <w:t xml:space="preserve"> of blood components</w:t>
      </w:r>
      <w:r w:rsidR="00CD6C4D">
        <w:rPr>
          <w:sz w:val="24"/>
          <w:szCs w:val="24"/>
        </w:rPr>
        <w:t xml:space="preserve">. </w:t>
      </w:r>
      <w:r w:rsidR="00037A3A" w:rsidRPr="003D7EBC">
        <w:rPr>
          <w:sz w:val="24"/>
          <w:szCs w:val="24"/>
        </w:rPr>
        <w:t xml:space="preserve"> </w:t>
      </w:r>
      <w:r w:rsidR="00355764" w:rsidRPr="003D7EBC">
        <w:rPr>
          <w:sz w:val="24"/>
          <w:szCs w:val="24"/>
        </w:rPr>
        <w:t>However, p</w:t>
      </w:r>
      <w:r w:rsidR="00037A3A" w:rsidRPr="003D7EBC">
        <w:rPr>
          <w:sz w:val="24"/>
          <w:szCs w:val="24"/>
        </w:rPr>
        <w:t xml:space="preserve">rocesses should be in place to ensure this does not impede delivery of urgent components, and group O RBCs </w:t>
      </w:r>
      <w:r w:rsidR="00885EBC">
        <w:rPr>
          <w:sz w:val="24"/>
          <w:szCs w:val="24"/>
        </w:rPr>
        <w:t xml:space="preserve">or group A or AB plasma </w:t>
      </w:r>
      <w:r w:rsidR="00037A3A" w:rsidRPr="003D7EBC">
        <w:rPr>
          <w:sz w:val="24"/>
          <w:szCs w:val="24"/>
        </w:rPr>
        <w:t xml:space="preserve">can be given until the group is confirmed. </w:t>
      </w:r>
    </w:p>
    <w:p w14:paraId="05219581" w14:textId="68753998" w:rsidR="00B52B33" w:rsidRPr="003D7EBC" w:rsidRDefault="00113362" w:rsidP="00772562">
      <w:pPr>
        <w:spacing w:line="480" w:lineRule="auto"/>
        <w:outlineLvl w:val="0"/>
        <w:rPr>
          <w:color w:val="000000"/>
          <w:sz w:val="24"/>
          <w:szCs w:val="24"/>
          <w:lang w:eastAsia="ja-JP"/>
        </w:rPr>
      </w:pPr>
      <w:r w:rsidRPr="003D7EBC">
        <w:rPr>
          <w:sz w:val="24"/>
          <w:szCs w:val="24"/>
        </w:rPr>
        <w:t>Early determination and c</w:t>
      </w:r>
      <w:r w:rsidR="00520534" w:rsidRPr="003D7EBC">
        <w:rPr>
          <w:sz w:val="24"/>
          <w:szCs w:val="24"/>
        </w:rPr>
        <w:t>onfidence in the ABO group and Rh</w:t>
      </w:r>
      <w:r w:rsidR="00BD16E0" w:rsidRPr="003D7EBC">
        <w:rPr>
          <w:sz w:val="24"/>
          <w:szCs w:val="24"/>
        </w:rPr>
        <w:t>D type</w:t>
      </w:r>
      <w:r w:rsidR="00520534" w:rsidRPr="003D7EBC">
        <w:rPr>
          <w:sz w:val="24"/>
          <w:szCs w:val="24"/>
        </w:rPr>
        <w:t xml:space="preserve"> is paramount if patients are to be safe</w:t>
      </w:r>
      <w:r w:rsidR="004F1993" w:rsidRPr="003D7EBC">
        <w:rPr>
          <w:sz w:val="24"/>
          <w:szCs w:val="24"/>
        </w:rPr>
        <w:t>l</w:t>
      </w:r>
      <w:r w:rsidR="00520534" w:rsidRPr="003D7EBC">
        <w:rPr>
          <w:sz w:val="24"/>
          <w:szCs w:val="24"/>
        </w:rPr>
        <w:t>y moved to policies for group specific RBC transfusion</w:t>
      </w:r>
      <w:r w:rsidR="00405B86" w:rsidRPr="003D7EBC">
        <w:rPr>
          <w:sz w:val="24"/>
          <w:szCs w:val="24"/>
        </w:rPr>
        <w:t xml:space="preserve">; </w:t>
      </w:r>
      <w:r w:rsidR="00355764" w:rsidRPr="003D7EBC">
        <w:rPr>
          <w:sz w:val="24"/>
          <w:szCs w:val="24"/>
        </w:rPr>
        <w:t>however, there is increasing evidence that transfusion of un</w:t>
      </w:r>
      <w:r w:rsidR="0083192B">
        <w:rPr>
          <w:sz w:val="24"/>
          <w:szCs w:val="24"/>
        </w:rPr>
        <w:t>-</w:t>
      </w:r>
      <w:r w:rsidR="00355764" w:rsidRPr="003D7EBC">
        <w:rPr>
          <w:sz w:val="24"/>
          <w:szCs w:val="24"/>
        </w:rPr>
        <w:t xml:space="preserve">crossmatched blood does not </w:t>
      </w:r>
      <w:r w:rsidR="008A3B27">
        <w:rPr>
          <w:sz w:val="24"/>
          <w:szCs w:val="24"/>
        </w:rPr>
        <w:t>i</w:t>
      </w:r>
      <w:r w:rsidR="00355764" w:rsidRPr="003D7EBC">
        <w:rPr>
          <w:sz w:val="24"/>
          <w:szCs w:val="24"/>
        </w:rPr>
        <w:t xml:space="preserve">nterfere with most ABO </w:t>
      </w:r>
      <w:r w:rsidR="00533C54" w:rsidRPr="003D7EBC">
        <w:rPr>
          <w:sz w:val="24"/>
          <w:szCs w:val="24"/>
        </w:rPr>
        <w:t>typing.</w:t>
      </w:r>
      <w:r w:rsidR="002A330F">
        <w:rPr>
          <w:sz w:val="24"/>
          <w:szCs w:val="24"/>
          <w:vertAlign w:val="superscript"/>
        </w:rPr>
        <w:t>10</w:t>
      </w:r>
      <w:r w:rsidR="00520534" w:rsidRPr="003D7EBC">
        <w:rPr>
          <w:color w:val="000000"/>
          <w:sz w:val="24"/>
          <w:szCs w:val="24"/>
          <w:lang w:eastAsia="ja-JP"/>
        </w:rPr>
        <w:t xml:space="preserve"> </w:t>
      </w:r>
      <w:r w:rsidR="00FC0F7A" w:rsidRPr="003D7EBC">
        <w:rPr>
          <w:color w:val="000000"/>
          <w:sz w:val="24"/>
          <w:szCs w:val="24"/>
          <w:lang w:eastAsia="ja-JP"/>
        </w:rPr>
        <w:t xml:space="preserve">It </w:t>
      </w:r>
      <w:r w:rsidR="009022F7" w:rsidRPr="003D7EBC">
        <w:rPr>
          <w:color w:val="000000"/>
          <w:sz w:val="24"/>
          <w:szCs w:val="24"/>
          <w:lang w:eastAsia="ja-JP"/>
        </w:rPr>
        <w:t>may be</w:t>
      </w:r>
      <w:r w:rsidR="00FC0F7A" w:rsidRPr="003D7EBC">
        <w:rPr>
          <w:color w:val="000000"/>
          <w:sz w:val="24"/>
          <w:szCs w:val="24"/>
          <w:lang w:eastAsia="ja-JP"/>
        </w:rPr>
        <w:t xml:space="preserve"> acceptable to issue </w:t>
      </w:r>
      <w:r w:rsidR="00405B86" w:rsidRPr="003D7EBC">
        <w:rPr>
          <w:color w:val="000000"/>
          <w:sz w:val="24"/>
          <w:szCs w:val="24"/>
          <w:lang w:eastAsia="ja-JP"/>
        </w:rPr>
        <w:t>group-</w:t>
      </w:r>
      <w:r w:rsidR="00E749BA" w:rsidRPr="003D7EBC">
        <w:rPr>
          <w:color w:val="000000"/>
          <w:sz w:val="24"/>
          <w:szCs w:val="24"/>
          <w:lang w:eastAsia="ja-JP"/>
        </w:rPr>
        <w:t xml:space="preserve">specific RBC without </w:t>
      </w:r>
      <w:r w:rsidR="00CC1FD5" w:rsidRPr="003D7EBC">
        <w:rPr>
          <w:color w:val="000000"/>
          <w:sz w:val="24"/>
          <w:szCs w:val="24"/>
          <w:lang w:eastAsia="ja-JP"/>
        </w:rPr>
        <w:t xml:space="preserve">completion of </w:t>
      </w:r>
      <w:r w:rsidR="00E749BA" w:rsidRPr="003D7EBC">
        <w:rPr>
          <w:color w:val="000000"/>
          <w:sz w:val="24"/>
          <w:szCs w:val="24"/>
          <w:lang w:eastAsia="ja-JP"/>
        </w:rPr>
        <w:t xml:space="preserve">an antibody screen in an emergency. </w:t>
      </w:r>
      <w:r w:rsidR="00FC0F7A" w:rsidRPr="003D7EBC">
        <w:rPr>
          <w:color w:val="000000"/>
          <w:sz w:val="24"/>
          <w:szCs w:val="24"/>
          <w:lang w:eastAsia="ja-JP"/>
        </w:rPr>
        <w:t>However, a</w:t>
      </w:r>
      <w:r w:rsidR="00E749BA" w:rsidRPr="003D7EBC">
        <w:rPr>
          <w:color w:val="000000"/>
          <w:sz w:val="24"/>
          <w:szCs w:val="24"/>
          <w:lang w:eastAsia="ja-JP"/>
        </w:rPr>
        <w:t xml:space="preserve"> retrospective antibody screen should be undertaken as well as routine compatibility procedures. </w:t>
      </w:r>
    </w:p>
    <w:p w14:paraId="743700A6" w14:textId="77EA66A8" w:rsidR="00CC1FD5" w:rsidRPr="00CD6C4D" w:rsidRDefault="00CC1FD5" w:rsidP="00CC1FD5">
      <w:pPr>
        <w:spacing w:line="480" w:lineRule="auto"/>
        <w:outlineLvl w:val="0"/>
        <w:rPr>
          <w:sz w:val="24"/>
          <w:szCs w:val="24"/>
          <w:vertAlign w:val="superscript"/>
        </w:rPr>
      </w:pPr>
      <w:r w:rsidRPr="003D7EBC">
        <w:rPr>
          <w:color w:val="000000"/>
          <w:sz w:val="24"/>
          <w:szCs w:val="24"/>
          <w:lang w:eastAsia="ja-JP"/>
        </w:rPr>
        <w:t>If an antibody screen is subsequently found to be positive, this must be communicated to the clinical team urgently and, a recall and reporting procedure should be in place, so that the patient can be assessed for the risk of haemolysis</w:t>
      </w:r>
      <w:r w:rsidRPr="003D7EBC">
        <w:rPr>
          <w:sz w:val="24"/>
          <w:szCs w:val="24"/>
        </w:rPr>
        <w:t>.  Where there is insufficient time to complete antibody identification in a haemorrhage situation, laboratories must have a policy in place detailing appropriate RBC to issue with concessionary release to avoid harmful delays.</w:t>
      </w:r>
      <w:r w:rsidR="002A330F">
        <w:rPr>
          <w:sz w:val="24"/>
          <w:szCs w:val="24"/>
          <w:vertAlign w:val="superscript"/>
        </w:rPr>
        <w:t>8</w:t>
      </w:r>
    </w:p>
    <w:p w14:paraId="3BC7D0C0" w14:textId="1CC8F324" w:rsidR="00F53093" w:rsidRPr="003D7EBC" w:rsidRDefault="00A966BD" w:rsidP="00772562">
      <w:pPr>
        <w:keepNext/>
        <w:keepLines/>
        <w:spacing w:before="120" w:line="480" w:lineRule="auto"/>
        <w:outlineLvl w:val="0"/>
        <w:rPr>
          <w:b/>
          <w:bCs/>
          <w:sz w:val="24"/>
          <w:szCs w:val="24"/>
        </w:rPr>
      </w:pPr>
      <w:r w:rsidRPr="003D7EBC">
        <w:rPr>
          <w:b/>
          <w:bCs/>
          <w:sz w:val="24"/>
          <w:szCs w:val="24"/>
        </w:rPr>
        <w:t xml:space="preserve">Selection and </w:t>
      </w:r>
      <w:r w:rsidR="00522433">
        <w:rPr>
          <w:b/>
          <w:bCs/>
          <w:sz w:val="24"/>
          <w:szCs w:val="24"/>
        </w:rPr>
        <w:t>issue</w:t>
      </w:r>
      <w:r w:rsidR="00522433" w:rsidRPr="003D7EBC">
        <w:rPr>
          <w:b/>
          <w:bCs/>
          <w:sz w:val="24"/>
          <w:szCs w:val="24"/>
        </w:rPr>
        <w:t xml:space="preserve"> </w:t>
      </w:r>
      <w:r w:rsidRPr="003D7EBC">
        <w:rPr>
          <w:b/>
          <w:bCs/>
          <w:sz w:val="24"/>
          <w:szCs w:val="24"/>
        </w:rPr>
        <w:t>of blood components</w:t>
      </w:r>
    </w:p>
    <w:p w14:paraId="7DACC478" w14:textId="3B9D60DA" w:rsidR="00522433" w:rsidRPr="003D7EBC" w:rsidRDefault="009A4C98" w:rsidP="00522433">
      <w:pPr>
        <w:spacing w:line="480" w:lineRule="auto"/>
        <w:outlineLvl w:val="0"/>
        <w:rPr>
          <w:sz w:val="24"/>
          <w:szCs w:val="24"/>
          <w:vertAlign w:val="superscript"/>
        </w:rPr>
      </w:pPr>
      <w:r w:rsidRPr="003D7EBC">
        <w:rPr>
          <w:sz w:val="24"/>
          <w:szCs w:val="24"/>
        </w:rPr>
        <w:t xml:space="preserve">Table </w:t>
      </w:r>
      <w:r w:rsidR="00B241AB">
        <w:rPr>
          <w:sz w:val="24"/>
          <w:szCs w:val="24"/>
        </w:rPr>
        <w:t>5</w:t>
      </w:r>
      <w:r w:rsidR="00EC5661" w:rsidRPr="003D7EBC">
        <w:rPr>
          <w:sz w:val="24"/>
          <w:szCs w:val="24"/>
        </w:rPr>
        <w:t xml:space="preserve"> </w:t>
      </w:r>
      <w:r w:rsidR="00047C01" w:rsidRPr="003D7EBC">
        <w:rPr>
          <w:sz w:val="24"/>
          <w:szCs w:val="24"/>
        </w:rPr>
        <w:t xml:space="preserve">provides </w:t>
      </w:r>
      <w:r w:rsidRPr="003D7EBC">
        <w:rPr>
          <w:sz w:val="24"/>
          <w:szCs w:val="24"/>
        </w:rPr>
        <w:t>an overview of blood components currently available in the UK for adults and children</w:t>
      </w:r>
      <w:r w:rsidR="00560B82" w:rsidRPr="003D7EBC">
        <w:rPr>
          <w:sz w:val="24"/>
          <w:szCs w:val="24"/>
        </w:rPr>
        <w:t xml:space="preserve"> &gt;1 </w:t>
      </w:r>
      <w:r w:rsidR="00F93A74" w:rsidRPr="003D7EBC">
        <w:rPr>
          <w:sz w:val="24"/>
          <w:szCs w:val="24"/>
        </w:rPr>
        <w:t>year old</w:t>
      </w:r>
      <w:r w:rsidRPr="003D7EBC">
        <w:rPr>
          <w:sz w:val="24"/>
          <w:szCs w:val="24"/>
        </w:rPr>
        <w:t>.</w:t>
      </w:r>
      <w:r w:rsidR="00A966BD" w:rsidRPr="003D7EBC">
        <w:rPr>
          <w:sz w:val="24"/>
          <w:szCs w:val="24"/>
        </w:rPr>
        <w:t xml:space="preserve"> </w:t>
      </w:r>
      <w:r w:rsidR="00522433" w:rsidRPr="003D7EBC">
        <w:rPr>
          <w:sz w:val="24"/>
          <w:szCs w:val="24"/>
        </w:rPr>
        <w:t xml:space="preserve">For doses of plasma and platelets, please refer to </w:t>
      </w:r>
      <w:r w:rsidR="003A49D0">
        <w:rPr>
          <w:sz w:val="24"/>
          <w:szCs w:val="24"/>
        </w:rPr>
        <w:t>main</w:t>
      </w:r>
      <w:r w:rsidR="00522433" w:rsidRPr="003D7EBC">
        <w:rPr>
          <w:sz w:val="24"/>
          <w:szCs w:val="24"/>
        </w:rPr>
        <w:t xml:space="preserve"> guideline </w:t>
      </w:r>
      <w:r w:rsidR="003A49D0">
        <w:rPr>
          <w:sz w:val="24"/>
          <w:szCs w:val="24"/>
        </w:rPr>
        <w:t xml:space="preserve">document. </w:t>
      </w:r>
    </w:p>
    <w:p w14:paraId="6840B17F" w14:textId="67FA254E" w:rsidR="00390D19" w:rsidRPr="003D7EBC" w:rsidRDefault="00A966BD" w:rsidP="00772562">
      <w:pPr>
        <w:spacing w:line="480" w:lineRule="auto"/>
        <w:rPr>
          <w:sz w:val="24"/>
          <w:szCs w:val="24"/>
        </w:rPr>
      </w:pPr>
      <w:r w:rsidRPr="003D7EBC">
        <w:rPr>
          <w:sz w:val="24"/>
          <w:szCs w:val="24"/>
        </w:rPr>
        <w:lastRenderedPageBreak/>
        <w:t xml:space="preserve">Laboratory staff should be familiar with the use of safe </w:t>
      </w:r>
      <w:r w:rsidR="008A0572" w:rsidRPr="003D7EBC">
        <w:rPr>
          <w:sz w:val="24"/>
          <w:szCs w:val="24"/>
        </w:rPr>
        <w:t xml:space="preserve">substitutes of </w:t>
      </w:r>
      <w:r w:rsidR="00047C01" w:rsidRPr="003D7EBC">
        <w:rPr>
          <w:sz w:val="24"/>
          <w:szCs w:val="24"/>
        </w:rPr>
        <w:t xml:space="preserve">blood group </w:t>
      </w:r>
      <w:r w:rsidRPr="003D7EBC">
        <w:rPr>
          <w:sz w:val="24"/>
          <w:szCs w:val="24"/>
        </w:rPr>
        <w:t>to support the speed and safety of transfusion support</w:t>
      </w:r>
      <w:r w:rsidR="00047C01" w:rsidRPr="003D7EBC">
        <w:rPr>
          <w:sz w:val="24"/>
          <w:szCs w:val="24"/>
        </w:rPr>
        <w:t xml:space="preserve"> in an emergency</w:t>
      </w:r>
      <w:r w:rsidR="00FC0F7A" w:rsidRPr="003D7EBC">
        <w:rPr>
          <w:sz w:val="24"/>
          <w:szCs w:val="24"/>
        </w:rPr>
        <w:t xml:space="preserve"> especially when universal components are required</w:t>
      </w:r>
      <w:r w:rsidRPr="003D7EBC">
        <w:rPr>
          <w:sz w:val="24"/>
          <w:szCs w:val="24"/>
        </w:rPr>
        <w:t xml:space="preserve">. </w:t>
      </w:r>
      <w:r w:rsidR="00D22543" w:rsidRPr="003D7EBC">
        <w:rPr>
          <w:sz w:val="24"/>
          <w:szCs w:val="24"/>
        </w:rPr>
        <w:t>Hospitals should have a policy for the urgent supply of blood components to patients with special requirements</w:t>
      </w:r>
      <w:r w:rsidR="001B6DBA" w:rsidRPr="003D7EBC">
        <w:rPr>
          <w:sz w:val="24"/>
          <w:szCs w:val="24"/>
        </w:rPr>
        <w:t xml:space="preserve"> for blood transfusion</w:t>
      </w:r>
      <w:r w:rsidR="00D22543" w:rsidRPr="003D7EBC">
        <w:rPr>
          <w:sz w:val="24"/>
          <w:szCs w:val="24"/>
        </w:rPr>
        <w:t>.  This should include a risk/benefit analysis and escalation to a clinical Haematologist when appropriate (without causing delay to component support).</w:t>
      </w:r>
    </w:p>
    <w:p w14:paraId="69549452" w14:textId="1F996483" w:rsidR="00982678" w:rsidRPr="003D7EBC" w:rsidRDefault="00982678" w:rsidP="00796E9E">
      <w:pPr>
        <w:spacing w:line="480" w:lineRule="auto"/>
        <w:outlineLvl w:val="0"/>
        <w:rPr>
          <w:sz w:val="24"/>
          <w:szCs w:val="24"/>
        </w:rPr>
      </w:pPr>
      <w:r w:rsidRPr="003D7EBC">
        <w:rPr>
          <w:i/>
          <w:iCs/>
          <w:sz w:val="24"/>
          <w:szCs w:val="24"/>
        </w:rPr>
        <w:t>Red cells</w:t>
      </w:r>
      <w:r w:rsidR="00A966BD" w:rsidRPr="003D7EBC">
        <w:rPr>
          <w:i/>
          <w:iCs/>
          <w:sz w:val="24"/>
          <w:szCs w:val="24"/>
        </w:rPr>
        <w:t>.</w:t>
      </w:r>
      <w:r w:rsidR="00A966BD" w:rsidRPr="003D7EBC">
        <w:rPr>
          <w:b/>
          <w:bCs/>
          <w:i/>
          <w:iCs/>
          <w:sz w:val="24"/>
          <w:szCs w:val="24"/>
        </w:rPr>
        <w:t xml:space="preserve"> </w:t>
      </w:r>
      <w:r w:rsidRPr="003D7EBC">
        <w:rPr>
          <w:sz w:val="24"/>
          <w:szCs w:val="24"/>
        </w:rPr>
        <w:t xml:space="preserve">Group O </w:t>
      </w:r>
      <w:r w:rsidR="00F53093" w:rsidRPr="003D7EBC">
        <w:rPr>
          <w:sz w:val="24"/>
          <w:szCs w:val="24"/>
        </w:rPr>
        <w:t>RBC</w:t>
      </w:r>
      <w:r w:rsidRPr="003D7EBC">
        <w:rPr>
          <w:sz w:val="24"/>
          <w:szCs w:val="24"/>
        </w:rPr>
        <w:t xml:space="preserve"> should be used in </w:t>
      </w:r>
      <w:r w:rsidR="00F93A74" w:rsidRPr="003D7EBC">
        <w:rPr>
          <w:sz w:val="24"/>
          <w:szCs w:val="24"/>
        </w:rPr>
        <w:t>emergency</w:t>
      </w:r>
      <w:r w:rsidRPr="003D7EBC">
        <w:rPr>
          <w:sz w:val="24"/>
          <w:szCs w:val="24"/>
        </w:rPr>
        <w:t xml:space="preserve"> until the </w:t>
      </w:r>
      <w:r w:rsidR="00965BD3" w:rsidRPr="003D7EBC">
        <w:rPr>
          <w:sz w:val="24"/>
          <w:szCs w:val="24"/>
        </w:rPr>
        <w:t>patient has a valid blood group</w:t>
      </w:r>
      <w:r w:rsidR="00EC5661" w:rsidRPr="003D7EBC">
        <w:rPr>
          <w:sz w:val="24"/>
          <w:szCs w:val="24"/>
        </w:rPr>
        <w:t>.</w:t>
      </w:r>
      <w:r w:rsidRPr="003D7EBC">
        <w:rPr>
          <w:sz w:val="24"/>
          <w:szCs w:val="24"/>
        </w:rPr>
        <w:t xml:space="preserve"> </w:t>
      </w:r>
      <w:r w:rsidR="00292673" w:rsidRPr="003D7EBC">
        <w:rPr>
          <w:sz w:val="24"/>
          <w:szCs w:val="24"/>
        </w:rPr>
        <w:t xml:space="preserve">Until </w:t>
      </w:r>
      <w:r w:rsidR="00405B86" w:rsidRPr="003D7EBC">
        <w:rPr>
          <w:sz w:val="24"/>
          <w:szCs w:val="24"/>
        </w:rPr>
        <w:t xml:space="preserve">the </w:t>
      </w:r>
      <w:r w:rsidR="00292673" w:rsidRPr="003D7EBC">
        <w:rPr>
          <w:sz w:val="24"/>
          <w:szCs w:val="24"/>
        </w:rPr>
        <w:t>patient’s blood group is confirmed, group O RhD</w:t>
      </w:r>
      <w:r w:rsidR="00D958E0">
        <w:rPr>
          <w:sz w:val="24"/>
          <w:szCs w:val="24"/>
        </w:rPr>
        <w:t xml:space="preserve"> </w:t>
      </w:r>
      <w:r w:rsidR="00292673" w:rsidRPr="003D7EBC">
        <w:rPr>
          <w:sz w:val="24"/>
          <w:szCs w:val="24"/>
        </w:rPr>
        <w:t>negative and K</w:t>
      </w:r>
      <w:r w:rsidR="002A3E01" w:rsidRPr="003D7EBC">
        <w:rPr>
          <w:sz w:val="24"/>
          <w:szCs w:val="24"/>
        </w:rPr>
        <w:t>-</w:t>
      </w:r>
      <w:r w:rsidR="00292673" w:rsidRPr="003D7EBC">
        <w:rPr>
          <w:sz w:val="24"/>
          <w:szCs w:val="24"/>
        </w:rPr>
        <w:t xml:space="preserve">negative </w:t>
      </w:r>
      <w:r w:rsidR="00F53093" w:rsidRPr="003D7EBC">
        <w:rPr>
          <w:sz w:val="24"/>
          <w:szCs w:val="24"/>
        </w:rPr>
        <w:t>RBC</w:t>
      </w:r>
      <w:r w:rsidRPr="003D7EBC">
        <w:rPr>
          <w:sz w:val="24"/>
          <w:szCs w:val="24"/>
        </w:rPr>
        <w:t xml:space="preserve"> </w:t>
      </w:r>
      <w:r w:rsidR="00292673" w:rsidRPr="003D7EBC">
        <w:rPr>
          <w:sz w:val="24"/>
          <w:szCs w:val="24"/>
        </w:rPr>
        <w:t xml:space="preserve">should be </w:t>
      </w:r>
      <w:r w:rsidR="00FC0F7A" w:rsidRPr="003D7EBC">
        <w:rPr>
          <w:sz w:val="24"/>
          <w:szCs w:val="24"/>
        </w:rPr>
        <w:t>prioritised</w:t>
      </w:r>
      <w:r w:rsidR="00292673" w:rsidRPr="003D7EBC">
        <w:rPr>
          <w:sz w:val="24"/>
          <w:szCs w:val="24"/>
        </w:rPr>
        <w:t xml:space="preserve"> </w:t>
      </w:r>
      <w:r w:rsidRPr="003D7EBC">
        <w:rPr>
          <w:sz w:val="24"/>
          <w:szCs w:val="24"/>
        </w:rPr>
        <w:t>for</w:t>
      </w:r>
      <w:r w:rsidR="00D22543" w:rsidRPr="003D7EBC">
        <w:rPr>
          <w:sz w:val="24"/>
          <w:szCs w:val="24"/>
        </w:rPr>
        <w:t xml:space="preserve"> </w:t>
      </w:r>
      <w:r w:rsidR="008A0572" w:rsidRPr="003D7EBC">
        <w:rPr>
          <w:sz w:val="24"/>
          <w:szCs w:val="24"/>
        </w:rPr>
        <w:t xml:space="preserve">people </w:t>
      </w:r>
      <w:r w:rsidRPr="003D7EBC">
        <w:rPr>
          <w:sz w:val="24"/>
          <w:szCs w:val="24"/>
        </w:rPr>
        <w:t xml:space="preserve">of </w:t>
      </w:r>
      <w:r w:rsidR="0000403D" w:rsidRPr="003D7EBC">
        <w:rPr>
          <w:sz w:val="24"/>
          <w:szCs w:val="24"/>
        </w:rPr>
        <w:t>childbearing</w:t>
      </w:r>
      <w:r w:rsidRPr="003D7EBC">
        <w:rPr>
          <w:sz w:val="24"/>
          <w:szCs w:val="24"/>
        </w:rPr>
        <w:t xml:space="preserve"> </w:t>
      </w:r>
      <w:r w:rsidR="00A21A0F">
        <w:rPr>
          <w:sz w:val="24"/>
          <w:szCs w:val="24"/>
        </w:rPr>
        <w:t>potential</w:t>
      </w:r>
      <w:r w:rsidR="00A21A0F" w:rsidRPr="003D7EBC">
        <w:rPr>
          <w:sz w:val="24"/>
          <w:szCs w:val="24"/>
        </w:rPr>
        <w:t xml:space="preserve"> </w:t>
      </w:r>
      <w:r w:rsidR="000E73E1" w:rsidRPr="003D7EBC">
        <w:rPr>
          <w:sz w:val="24"/>
          <w:szCs w:val="24"/>
        </w:rPr>
        <w:t>(</w:t>
      </w:r>
      <w:r w:rsidRPr="003D7EBC">
        <w:rPr>
          <w:sz w:val="24"/>
          <w:szCs w:val="24"/>
        </w:rPr>
        <w:t>&lt;50 years</w:t>
      </w:r>
      <w:r w:rsidR="000E73E1" w:rsidRPr="003D7EBC">
        <w:rPr>
          <w:sz w:val="24"/>
          <w:szCs w:val="24"/>
        </w:rPr>
        <w:t>)</w:t>
      </w:r>
      <w:r w:rsidR="00A34BD7">
        <w:rPr>
          <w:sz w:val="24"/>
          <w:szCs w:val="24"/>
        </w:rPr>
        <w:t>, children</w:t>
      </w:r>
      <w:r w:rsidR="00E81DB0" w:rsidRPr="003D7EBC">
        <w:rPr>
          <w:sz w:val="24"/>
          <w:szCs w:val="24"/>
        </w:rPr>
        <w:t xml:space="preserve"> and where the patient’s sex is unknown</w:t>
      </w:r>
      <w:r w:rsidR="00BB026E" w:rsidRPr="003D7EBC">
        <w:rPr>
          <w:sz w:val="24"/>
          <w:szCs w:val="24"/>
        </w:rPr>
        <w:t>.</w:t>
      </w:r>
      <w:r w:rsidRPr="003D7EBC">
        <w:rPr>
          <w:sz w:val="24"/>
          <w:szCs w:val="24"/>
        </w:rPr>
        <w:t xml:space="preserve"> </w:t>
      </w:r>
      <w:r w:rsidR="00337D8C" w:rsidRPr="003D7EBC">
        <w:rPr>
          <w:sz w:val="24"/>
          <w:szCs w:val="24"/>
        </w:rPr>
        <w:t>Adult</w:t>
      </w:r>
      <w:r w:rsidR="00A21A0F">
        <w:rPr>
          <w:sz w:val="24"/>
          <w:szCs w:val="24"/>
        </w:rPr>
        <w:t>s</w:t>
      </w:r>
      <w:r w:rsidR="00337D8C" w:rsidRPr="003D7EBC">
        <w:rPr>
          <w:sz w:val="24"/>
          <w:szCs w:val="24"/>
        </w:rPr>
        <w:t xml:space="preserve"> </w:t>
      </w:r>
      <w:r w:rsidR="00A21A0F">
        <w:rPr>
          <w:sz w:val="24"/>
          <w:szCs w:val="24"/>
        </w:rPr>
        <w:t xml:space="preserve">who </w:t>
      </w:r>
      <w:r w:rsidR="00395DFE">
        <w:rPr>
          <w:sz w:val="24"/>
          <w:szCs w:val="24"/>
        </w:rPr>
        <w:t>d</w:t>
      </w:r>
      <w:r w:rsidR="00A21A0F">
        <w:rPr>
          <w:sz w:val="24"/>
          <w:szCs w:val="24"/>
        </w:rPr>
        <w:t>o not have</w:t>
      </w:r>
      <w:r w:rsidR="00395DFE">
        <w:rPr>
          <w:sz w:val="24"/>
          <w:szCs w:val="24"/>
        </w:rPr>
        <w:t xml:space="preserve"> </w:t>
      </w:r>
      <w:r w:rsidR="006854AA" w:rsidRPr="003D7EBC">
        <w:rPr>
          <w:sz w:val="24"/>
          <w:szCs w:val="24"/>
        </w:rPr>
        <w:t>childbearing</w:t>
      </w:r>
      <w:r w:rsidR="007211EA" w:rsidRPr="003D7EBC">
        <w:rPr>
          <w:sz w:val="24"/>
          <w:szCs w:val="24"/>
        </w:rPr>
        <w:t xml:space="preserve"> </w:t>
      </w:r>
      <w:r w:rsidR="00A21A0F">
        <w:rPr>
          <w:sz w:val="24"/>
          <w:szCs w:val="24"/>
        </w:rPr>
        <w:t>potential</w:t>
      </w:r>
      <w:r w:rsidR="007211EA" w:rsidRPr="003D7EBC">
        <w:rPr>
          <w:sz w:val="24"/>
          <w:szCs w:val="24"/>
        </w:rPr>
        <w:t xml:space="preserve"> should receive group O RhD</w:t>
      </w:r>
      <w:r w:rsidR="009966AC" w:rsidRPr="003D7EBC">
        <w:rPr>
          <w:sz w:val="24"/>
          <w:szCs w:val="24"/>
        </w:rPr>
        <w:t xml:space="preserve"> </w:t>
      </w:r>
      <w:r w:rsidR="007211EA" w:rsidRPr="003D7EBC">
        <w:rPr>
          <w:sz w:val="24"/>
          <w:szCs w:val="24"/>
        </w:rPr>
        <w:t xml:space="preserve">positive RBC.  </w:t>
      </w:r>
      <w:r w:rsidR="00E81DB0" w:rsidRPr="003D7EBC">
        <w:rPr>
          <w:sz w:val="24"/>
          <w:szCs w:val="24"/>
        </w:rPr>
        <w:t>Labels applied to Group O red cells for emergency use should highlight which patient groups they are suitable for (e.g.</w:t>
      </w:r>
      <w:r w:rsidR="00F771C0" w:rsidRPr="003D7EBC">
        <w:rPr>
          <w:sz w:val="24"/>
          <w:szCs w:val="24"/>
        </w:rPr>
        <w:t>,</w:t>
      </w:r>
      <w:r w:rsidR="00E81DB0" w:rsidRPr="003D7EBC">
        <w:rPr>
          <w:sz w:val="24"/>
          <w:szCs w:val="24"/>
        </w:rPr>
        <w:t xml:space="preserve"> sex and adult or neonatal specification)</w:t>
      </w:r>
      <w:r w:rsidR="00796E9E" w:rsidRPr="003D7EBC">
        <w:rPr>
          <w:sz w:val="24"/>
          <w:szCs w:val="24"/>
        </w:rPr>
        <w:t>, however</w:t>
      </w:r>
      <w:r w:rsidR="00FC14ED" w:rsidRPr="003D7EBC">
        <w:rPr>
          <w:sz w:val="24"/>
          <w:szCs w:val="24"/>
        </w:rPr>
        <w:t xml:space="preserve"> </w:t>
      </w:r>
      <w:r w:rsidR="00796E9E" w:rsidRPr="003D7EBC">
        <w:rPr>
          <w:sz w:val="24"/>
          <w:szCs w:val="24"/>
        </w:rPr>
        <w:t>the age of red cells does not need to be specified. Current e</w:t>
      </w:r>
      <w:r w:rsidR="009A4C98" w:rsidRPr="003D7EBC">
        <w:rPr>
          <w:sz w:val="24"/>
          <w:szCs w:val="24"/>
        </w:rPr>
        <w:t xml:space="preserve">vidence from randomised trials indicates no difference in multiorgan system dysfunction or mortality in patients receiving </w:t>
      </w:r>
      <w:r w:rsidR="001428F0" w:rsidRPr="003D7EBC">
        <w:rPr>
          <w:sz w:val="24"/>
          <w:szCs w:val="24"/>
        </w:rPr>
        <w:t>RBC</w:t>
      </w:r>
      <w:r w:rsidR="009A4C98" w:rsidRPr="003D7EBC">
        <w:rPr>
          <w:sz w:val="24"/>
          <w:szCs w:val="24"/>
        </w:rPr>
        <w:t xml:space="preserve"> at different storage ages</w:t>
      </w:r>
      <w:r w:rsidR="00047C01" w:rsidRPr="003D7EBC">
        <w:rPr>
          <w:sz w:val="24"/>
          <w:szCs w:val="24"/>
        </w:rPr>
        <w:t>,</w:t>
      </w:r>
      <w:r w:rsidR="002A330F">
        <w:rPr>
          <w:sz w:val="24"/>
          <w:szCs w:val="24"/>
          <w:vertAlign w:val="superscript"/>
        </w:rPr>
        <w:t>11</w:t>
      </w:r>
      <w:r w:rsidR="00F21BA2">
        <w:rPr>
          <w:sz w:val="24"/>
          <w:szCs w:val="24"/>
          <w:vertAlign w:val="superscript"/>
        </w:rPr>
        <w:t>,1</w:t>
      </w:r>
      <w:r w:rsidR="002A330F">
        <w:rPr>
          <w:sz w:val="24"/>
          <w:szCs w:val="24"/>
          <w:vertAlign w:val="superscript"/>
        </w:rPr>
        <w:t>2</w:t>
      </w:r>
      <w:r w:rsidR="009A4C98" w:rsidRPr="003D7EBC">
        <w:rPr>
          <w:sz w:val="24"/>
          <w:szCs w:val="24"/>
        </w:rPr>
        <w:t xml:space="preserve"> </w:t>
      </w:r>
      <w:r w:rsidR="00047C01" w:rsidRPr="003D7EBC">
        <w:rPr>
          <w:sz w:val="24"/>
          <w:szCs w:val="24"/>
        </w:rPr>
        <w:t>and a</w:t>
      </w:r>
      <w:r w:rsidR="009A4C98" w:rsidRPr="003D7EBC">
        <w:rPr>
          <w:sz w:val="24"/>
          <w:szCs w:val="24"/>
        </w:rPr>
        <w:t xml:space="preserve">t the </w:t>
      </w:r>
      <w:r w:rsidR="00787DFE" w:rsidRPr="003D7EBC">
        <w:rPr>
          <w:sz w:val="24"/>
          <w:szCs w:val="24"/>
        </w:rPr>
        <w:t xml:space="preserve">time of writing this guideline, </w:t>
      </w:r>
      <w:r w:rsidR="009A4C98" w:rsidRPr="003D7EBC">
        <w:rPr>
          <w:sz w:val="24"/>
          <w:szCs w:val="24"/>
        </w:rPr>
        <w:t xml:space="preserve">we recommend standard stock </w:t>
      </w:r>
      <w:r w:rsidR="00DC4165" w:rsidRPr="003D7EBC">
        <w:rPr>
          <w:sz w:val="24"/>
          <w:szCs w:val="24"/>
        </w:rPr>
        <w:t xml:space="preserve">storage </w:t>
      </w:r>
      <w:r w:rsidR="009A4C98" w:rsidRPr="003D7EBC">
        <w:rPr>
          <w:sz w:val="24"/>
          <w:szCs w:val="24"/>
        </w:rPr>
        <w:t>management for red cells.</w:t>
      </w:r>
    </w:p>
    <w:p w14:paraId="395220E7" w14:textId="5AB1BCD8" w:rsidR="00FD58FD" w:rsidRDefault="00FD58FD" w:rsidP="00772562">
      <w:pPr>
        <w:spacing w:line="480" w:lineRule="auto"/>
        <w:outlineLvl w:val="0"/>
        <w:rPr>
          <w:sz w:val="24"/>
          <w:szCs w:val="24"/>
        </w:rPr>
      </w:pPr>
      <w:r>
        <w:rPr>
          <w:i/>
          <w:iCs/>
          <w:sz w:val="24"/>
          <w:szCs w:val="24"/>
        </w:rPr>
        <w:t xml:space="preserve">Components including </w:t>
      </w:r>
      <w:r w:rsidR="009F432F">
        <w:rPr>
          <w:i/>
          <w:iCs/>
          <w:sz w:val="24"/>
          <w:szCs w:val="24"/>
        </w:rPr>
        <w:t>p</w:t>
      </w:r>
      <w:r w:rsidR="0093724A">
        <w:rPr>
          <w:i/>
          <w:iCs/>
          <w:sz w:val="24"/>
          <w:szCs w:val="24"/>
        </w:rPr>
        <w:t xml:space="preserve">lasma </w:t>
      </w:r>
      <w:r w:rsidR="00AA244A">
        <w:rPr>
          <w:i/>
          <w:iCs/>
          <w:sz w:val="24"/>
          <w:szCs w:val="24"/>
        </w:rPr>
        <w:t>and cryoprecipi</w:t>
      </w:r>
      <w:r w:rsidR="00371A11">
        <w:rPr>
          <w:i/>
          <w:iCs/>
          <w:sz w:val="24"/>
          <w:szCs w:val="24"/>
        </w:rPr>
        <w:t>t</w:t>
      </w:r>
      <w:r w:rsidR="00AA244A">
        <w:rPr>
          <w:i/>
          <w:iCs/>
          <w:sz w:val="24"/>
          <w:szCs w:val="24"/>
        </w:rPr>
        <w:t>ate</w:t>
      </w:r>
      <w:r w:rsidR="00E218DF" w:rsidRPr="003D7EBC">
        <w:rPr>
          <w:sz w:val="24"/>
          <w:szCs w:val="24"/>
        </w:rPr>
        <w:t xml:space="preserve">.  If fresh frozen plasma (FFP) </w:t>
      </w:r>
      <w:r w:rsidR="008A0572" w:rsidRPr="003D7EBC">
        <w:rPr>
          <w:sz w:val="24"/>
          <w:szCs w:val="24"/>
        </w:rPr>
        <w:t xml:space="preserve">is </w:t>
      </w:r>
      <w:r w:rsidR="00E218DF" w:rsidRPr="003D7EBC">
        <w:rPr>
          <w:sz w:val="24"/>
          <w:szCs w:val="24"/>
        </w:rPr>
        <w:t>required urgently in a bleeding patient before the ABO group is known, group A (</w:t>
      </w:r>
      <w:r w:rsidR="00405B86" w:rsidRPr="003D7EBC">
        <w:rPr>
          <w:sz w:val="24"/>
          <w:szCs w:val="24"/>
        </w:rPr>
        <w:t>high</w:t>
      </w:r>
      <w:r w:rsidR="00E218DF" w:rsidRPr="003D7EBC">
        <w:rPr>
          <w:sz w:val="24"/>
          <w:szCs w:val="24"/>
        </w:rPr>
        <w:t>-</w:t>
      </w:r>
      <w:r w:rsidR="00405B86" w:rsidRPr="003D7EBC">
        <w:rPr>
          <w:sz w:val="24"/>
          <w:szCs w:val="24"/>
        </w:rPr>
        <w:t xml:space="preserve">titre </w:t>
      </w:r>
      <w:r w:rsidR="00E218DF" w:rsidRPr="003D7EBC">
        <w:rPr>
          <w:sz w:val="24"/>
          <w:szCs w:val="24"/>
        </w:rPr>
        <w:t>negative) can be issued as an alternative to group AB</w:t>
      </w:r>
      <w:r w:rsidR="00E218DF" w:rsidRPr="003D7EBC">
        <w:rPr>
          <w:sz w:val="24"/>
          <w:szCs w:val="24"/>
          <w:vertAlign w:val="superscript"/>
        </w:rPr>
        <w:t xml:space="preserve"> </w:t>
      </w:r>
      <w:r w:rsidR="00371A11">
        <w:rPr>
          <w:sz w:val="24"/>
          <w:szCs w:val="24"/>
          <w:vertAlign w:val="superscript"/>
        </w:rPr>
        <w:t>1</w:t>
      </w:r>
      <w:r w:rsidR="002A330F">
        <w:rPr>
          <w:sz w:val="24"/>
          <w:szCs w:val="24"/>
          <w:vertAlign w:val="superscript"/>
        </w:rPr>
        <w:t>3</w:t>
      </w:r>
      <w:r w:rsidR="00E218DF" w:rsidRPr="003D7EBC">
        <w:rPr>
          <w:sz w:val="24"/>
          <w:szCs w:val="24"/>
        </w:rPr>
        <w:t xml:space="preserve"> </w:t>
      </w:r>
      <w:r w:rsidR="00C071F8" w:rsidRPr="003D7EBC">
        <w:rPr>
          <w:sz w:val="24"/>
          <w:szCs w:val="24"/>
        </w:rPr>
        <w:t>(</w:t>
      </w:r>
      <w:r w:rsidR="000005E3" w:rsidRPr="003D7EBC">
        <w:rPr>
          <w:sz w:val="24"/>
          <w:szCs w:val="24"/>
        </w:rPr>
        <w:t>f</w:t>
      </w:r>
      <w:r w:rsidR="00C071F8" w:rsidRPr="003D7EBC">
        <w:rPr>
          <w:sz w:val="24"/>
          <w:szCs w:val="24"/>
        </w:rPr>
        <w:t xml:space="preserve">or </w:t>
      </w:r>
      <w:r w:rsidR="00161188" w:rsidRPr="003D7EBC">
        <w:rPr>
          <w:sz w:val="24"/>
          <w:szCs w:val="24"/>
        </w:rPr>
        <w:t xml:space="preserve">Octaplas and LyoPlas-N </w:t>
      </w:r>
      <w:r w:rsidR="00BA0B03">
        <w:rPr>
          <w:sz w:val="24"/>
          <w:szCs w:val="24"/>
        </w:rPr>
        <w:t xml:space="preserve">and other commercial products </w:t>
      </w:r>
      <w:r w:rsidR="000005E3" w:rsidRPr="003D7EBC">
        <w:rPr>
          <w:sz w:val="24"/>
          <w:szCs w:val="24"/>
        </w:rPr>
        <w:t>please refer to manufacturer</w:t>
      </w:r>
      <w:r w:rsidR="006C1DA7">
        <w:rPr>
          <w:sz w:val="24"/>
          <w:szCs w:val="24"/>
        </w:rPr>
        <w:t>’</w:t>
      </w:r>
      <w:r w:rsidR="000005E3" w:rsidRPr="003D7EBC">
        <w:rPr>
          <w:sz w:val="24"/>
          <w:szCs w:val="24"/>
        </w:rPr>
        <w:t>s</w:t>
      </w:r>
      <w:r w:rsidR="00161188" w:rsidRPr="003D7EBC">
        <w:rPr>
          <w:sz w:val="24"/>
          <w:szCs w:val="24"/>
        </w:rPr>
        <w:t xml:space="preserve"> guidance</w:t>
      </w:r>
      <w:r w:rsidR="000005E3" w:rsidRPr="003D7EBC">
        <w:rPr>
          <w:sz w:val="24"/>
          <w:szCs w:val="24"/>
        </w:rPr>
        <w:t>).</w:t>
      </w:r>
      <w:r w:rsidR="00E218DF" w:rsidRPr="003D7EBC">
        <w:rPr>
          <w:sz w:val="24"/>
          <w:szCs w:val="24"/>
        </w:rPr>
        <w:t xml:space="preserve"> </w:t>
      </w:r>
    </w:p>
    <w:p w14:paraId="5A605CF5" w14:textId="08EC4F00" w:rsidR="00522433" w:rsidRDefault="00522433" w:rsidP="00772562">
      <w:pPr>
        <w:spacing w:line="480" w:lineRule="auto"/>
        <w:outlineLvl w:val="0"/>
        <w:rPr>
          <w:sz w:val="24"/>
          <w:szCs w:val="24"/>
        </w:rPr>
      </w:pPr>
      <w:r w:rsidRPr="003D7EBC">
        <w:rPr>
          <w:i/>
          <w:iCs/>
          <w:sz w:val="24"/>
          <w:szCs w:val="24"/>
        </w:rPr>
        <w:t xml:space="preserve">Platelets. </w:t>
      </w:r>
      <w:r w:rsidRPr="003D7EBC">
        <w:rPr>
          <w:sz w:val="24"/>
          <w:szCs w:val="24"/>
        </w:rPr>
        <w:t xml:space="preserve">Platelets are less commonly required but may be needed where there are pre-existing conditions or medications that interfere with platelet function; Group A high titre-negative platelets may be used (if Group A unavailable refer to the guidance for selection of ABO group for </w:t>
      </w:r>
      <w:r w:rsidR="00F21BA2">
        <w:rPr>
          <w:sz w:val="24"/>
          <w:szCs w:val="24"/>
        </w:rPr>
        <w:t>platelet</w:t>
      </w:r>
      <w:r w:rsidR="00F21BA2" w:rsidRPr="003D7EBC">
        <w:rPr>
          <w:sz w:val="24"/>
          <w:szCs w:val="24"/>
        </w:rPr>
        <w:t xml:space="preserve"> </w:t>
      </w:r>
      <w:r w:rsidRPr="003D7EBC">
        <w:rPr>
          <w:sz w:val="24"/>
          <w:szCs w:val="24"/>
        </w:rPr>
        <w:t>transfusions</w:t>
      </w:r>
      <w:r w:rsidRPr="003D7EBC">
        <w:t>)</w:t>
      </w:r>
      <w:r w:rsidR="00970752">
        <w:t>.</w:t>
      </w:r>
      <w:r w:rsidRPr="003D7EBC">
        <w:rPr>
          <w:i/>
          <w:iCs/>
          <w:sz w:val="24"/>
          <w:szCs w:val="24"/>
        </w:rPr>
        <w:t xml:space="preserve"> </w:t>
      </w:r>
      <w:r w:rsidRPr="003D7EBC">
        <w:rPr>
          <w:sz w:val="24"/>
          <w:szCs w:val="24"/>
        </w:rPr>
        <w:t>RhD</w:t>
      </w:r>
      <w:r w:rsidR="00D958E0">
        <w:rPr>
          <w:sz w:val="24"/>
          <w:szCs w:val="24"/>
        </w:rPr>
        <w:t xml:space="preserve"> </w:t>
      </w:r>
      <w:r w:rsidRPr="003D7EBC">
        <w:rPr>
          <w:sz w:val="24"/>
          <w:szCs w:val="24"/>
        </w:rPr>
        <w:t xml:space="preserve">negative platelets </w:t>
      </w:r>
      <w:r w:rsidRPr="003D7EBC">
        <w:rPr>
          <w:sz w:val="24"/>
          <w:szCs w:val="24"/>
        </w:rPr>
        <w:lastRenderedPageBreak/>
        <w:t>should be used for females &lt;50 years with unknown group. If only RhD positive platelets are available</w:t>
      </w:r>
      <w:r>
        <w:rPr>
          <w:sz w:val="24"/>
          <w:szCs w:val="24"/>
        </w:rPr>
        <w:t xml:space="preserve"> for females &lt;50 years</w:t>
      </w:r>
      <w:r w:rsidRPr="003D7EBC">
        <w:rPr>
          <w:sz w:val="24"/>
          <w:szCs w:val="24"/>
        </w:rPr>
        <w:t>, anti-D should be administered as per advice provided in BSH platelet guidelines.</w:t>
      </w:r>
      <w:r w:rsidR="00371A11">
        <w:rPr>
          <w:sz w:val="24"/>
          <w:szCs w:val="24"/>
          <w:vertAlign w:val="superscript"/>
        </w:rPr>
        <w:t>1</w:t>
      </w:r>
      <w:r w:rsidR="002A330F">
        <w:rPr>
          <w:sz w:val="24"/>
          <w:szCs w:val="24"/>
          <w:vertAlign w:val="superscript"/>
        </w:rPr>
        <w:t>4</w:t>
      </w:r>
    </w:p>
    <w:p w14:paraId="042948B7" w14:textId="207C7C9B" w:rsidR="00522433" w:rsidRPr="00371A11" w:rsidRDefault="00522433" w:rsidP="00371A11">
      <w:pPr>
        <w:keepNext/>
        <w:keepLines/>
        <w:spacing w:before="120" w:line="480" w:lineRule="auto"/>
        <w:outlineLvl w:val="0"/>
        <w:rPr>
          <w:b/>
          <w:bCs/>
          <w:sz w:val="24"/>
          <w:szCs w:val="24"/>
        </w:rPr>
      </w:pPr>
      <w:r w:rsidRPr="00371A11">
        <w:rPr>
          <w:b/>
          <w:bCs/>
          <w:sz w:val="24"/>
          <w:szCs w:val="24"/>
        </w:rPr>
        <w:t>Availability of blood components for transfusion</w:t>
      </w:r>
    </w:p>
    <w:p w14:paraId="20DD6644" w14:textId="6A4307D2" w:rsidR="009022F7" w:rsidRPr="003D7EBC" w:rsidRDefault="00FE4B3B" w:rsidP="009022F7">
      <w:pPr>
        <w:spacing w:line="480" w:lineRule="auto"/>
        <w:outlineLvl w:val="0"/>
        <w:rPr>
          <w:sz w:val="24"/>
          <w:szCs w:val="24"/>
        </w:rPr>
      </w:pPr>
      <w:r w:rsidRPr="003D7EBC">
        <w:rPr>
          <w:sz w:val="24"/>
          <w:szCs w:val="24"/>
        </w:rPr>
        <w:t xml:space="preserve">A </w:t>
      </w:r>
      <w:r w:rsidR="00522433">
        <w:rPr>
          <w:sz w:val="24"/>
          <w:szCs w:val="24"/>
        </w:rPr>
        <w:t>major</w:t>
      </w:r>
      <w:r w:rsidR="00522433" w:rsidRPr="003D7EBC">
        <w:rPr>
          <w:sz w:val="24"/>
          <w:szCs w:val="24"/>
        </w:rPr>
        <w:t xml:space="preserve"> </w:t>
      </w:r>
      <w:r w:rsidR="00F6413C" w:rsidRPr="003D7EBC">
        <w:rPr>
          <w:sz w:val="24"/>
          <w:szCs w:val="24"/>
        </w:rPr>
        <w:t xml:space="preserve">risk in </w:t>
      </w:r>
      <w:r w:rsidR="00405B86" w:rsidRPr="003D7EBC">
        <w:rPr>
          <w:sz w:val="24"/>
          <w:szCs w:val="24"/>
        </w:rPr>
        <w:t xml:space="preserve">an </w:t>
      </w:r>
      <w:r w:rsidR="001428F0" w:rsidRPr="003D7EBC">
        <w:rPr>
          <w:sz w:val="24"/>
          <w:szCs w:val="24"/>
        </w:rPr>
        <w:t>emergency</w:t>
      </w:r>
      <w:r w:rsidR="00F6413C" w:rsidRPr="003D7EBC">
        <w:rPr>
          <w:sz w:val="24"/>
          <w:szCs w:val="24"/>
        </w:rPr>
        <w:t xml:space="preserve"> is delay in transfusion </w:t>
      </w:r>
      <w:r w:rsidR="00522433">
        <w:rPr>
          <w:sz w:val="24"/>
          <w:szCs w:val="24"/>
        </w:rPr>
        <w:t xml:space="preserve">for example </w:t>
      </w:r>
      <w:r w:rsidR="005F48CE" w:rsidRPr="003D7EBC">
        <w:rPr>
          <w:sz w:val="24"/>
          <w:szCs w:val="24"/>
        </w:rPr>
        <w:t xml:space="preserve">due to </w:t>
      </w:r>
      <w:r w:rsidR="00522433">
        <w:rPr>
          <w:sz w:val="24"/>
          <w:szCs w:val="24"/>
        </w:rPr>
        <w:t xml:space="preserve">required </w:t>
      </w:r>
      <w:r w:rsidR="005F48CE" w:rsidRPr="003D7EBC">
        <w:rPr>
          <w:sz w:val="24"/>
          <w:szCs w:val="24"/>
        </w:rPr>
        <w:t>thawing of plasma</w:t>
      </w:r>
      <w:r w:rsidR="00F6413C" w:rsidRPr="003D7EBC">
        <w:rPr>
          <w:sz w:val="24"/>
          <w:szCs w:val="24"/>
        </w:rPr>
        <w:t xml:space="preserve"> and </w:t>
      </w:r>
      <w:r w:rsidR="005F48CE" w:rsidRPr="003D7EBC">
        <w:rPr>
          <w:sz w:val="24"/>
          <w:szCs w:val="24"/>
        </w:rPr>
        <w:t xml:space="preserve">its </w:t>
      </w:r>
      <w:r w:rsidR="00F6413C" w:rsidRPr="003D7EBC">
        <w:rPr>
          <w:sz w:val="24"/>
          <w:szCs w:val="24"/>
        </w:rPr>
        <w:t xml:space="preserve">delivery. </w:t>
      </w:r>
      <w:r w:rsidR="00982678" w:rsidRPr="003D7EBC">
        <w:rPr>
          <w:sz w:val="24"/>
          <w:szCs w:val="24"/>
        </w:rPr>
        <w:t xml:space="preserve">In </w:t>
      </w:r>
      <w:r w:rsidR="001428F0" w:rsidRPr="003D7EBC">
        <w:rPr>
          <w:sz w:val="24"/>
          <w:szCs w:val="24"/>
        </w:rPr>
        <w:t xml:space="preserve">hospitals </w:t>
      </w:r>
      <w:r w:rsidR="005F48CE" w:rsidRPr="003D7EBC">
        <w:rPr>
          <w:sz w:val="24"/>
          <w:szCs w:val="24"/>
        </w:rPr>
        <w:t xml:space="preserve">that </w:t>
      </w:r>
      <w:r w:rsidR="001428F0" w:rsidRPr="003D7EBC">
        <w:rPr>
          <w:sz w:val="24"/>
          <w:szCs w:val="24"/>
        </w:rPr>
        <w:t xml:space="preserve">manage </w:t>
      </w:r>
      <w:r w:rsidR="00982678" w:rsidRPr="003D7EBC">
        <w:rPr>
          <w:sz w:val="24"/>
          <w:szCs w:val="24"/>
        </w:rPr>
        <w:t xml:space="preserve">frequent </w:t>
      </w:r>
      <w:r w:rsidR="005F48CE" w:rsidRPr="003D7EBC">
        <w:rPr>
          <w:sz w:val="24"/>
          <w:szCs w:val="24"/>
        </w:rPr>
        <w:t xml:space="preserve">cases of </w:t>
      </w:r>
      <w:r w:rsidR="00982678" w:rsidRPr="003D7EBC">
        <w:rPr>
          <w:sz w:val="24"/>
          <w:szCs w:val="24"/>
        </w:rPr>
        <w:t>ma</w:t>
      </w:r>
      <w:r w:rsidR="005F48CE" w:rsidRPr="003D7EBC">
        <w:rPr>
          <w:sz w:val="24"/>
          <w:szCs w:val="24"/>
        </w:rPr>
        <w:t xml:space="preserve">jor </w:t>
      </w:r>
      <w:r w:rsidR="00982678" w:rsidRPr="003D7EBC">
        <w:rPr>
          <w:sz w:val="24"/>
          <w:szCs w:val="24"/>
        </w:rPr>
        <w:t>haemorrhage, consideration should be given to having pre-thawed plasma on standby</w:t>
      </w:r>
      <w:r w:rsidR="005F48CE" w:rsidRPr="003D7EBC">
        <w:rPr>
          <w:sz w:val="24"/>
          <w:szCs w:val="24"/>
        </w:rPr>
        <w:t xml:space="preserve">, which can be stored </w:t>
      </w:r>
      <w:r w:rsidR="00982678" w:rsidRPr="003D7EBC">
        <w:rPr>
          <w:sz w:val="24"/>
          <w:szCs w:val="24"/>
        </w:rPr>
        <w:t>post</w:t>
      </w:r>
      <w:r w:rsidR="00524EE7" w:rsidRPr="003D7EBC">
        <w:rPr>
          <w:sz w:val="24"/>
          <w:szCs w:val="24"/>
        </w:rPr>
        <w:t>-thaw</w:t>
      </w:r>
      <w:r w:rsidR="005F48CE" w:rsidRPr="003D7EBC">
        <w:rPr>
          <w:sz w:val="24"/>
          <w:szCs w:val="24"/>
        </w:rPr>
        <w:t xml:space="preserve">ing for up to </w:t>
      </w:r>
      <w:r w:rsidR="00524EE7" w:rsidRPr="003D7EBC">
        <w:rPr>
          <w:sz w:val="24"/>
          <w:szCs w:val="24"/>
        </w:rPr>
        <w:t>5 days</w:t>
      </w:r>
      <w:r w:rsidR="00105CDA" w:rsidRPr="003D7EBC">
        <w:rPr>
          <w:sz w:val="24"/>
          <w:szCs w:val="24"/>
        </w:rPr>
        <w:t xml:space="preserve"> at 4°C ±2°C</w:t>
      </w:r>
      <w:r w:rsidR="001428F0" w:rsidRPr="003D7EBC">
        <w:rPr>
          <w:sz w:val="24"/>
          <w:szCs w:val="24"/>
        </w:rPr>
        <w:t xml:space="preserve">, and this can be </w:t>
      </w:r>
      <w:r w:rsidR="00874817" w:rsidRPr="003D7EBC">
        <w:rPr>
          <w:sz w:val="24"/>
          <w:szCs w:val="24"/>
        </w:rPr>
        <w:t>use</w:t>
      </w:r>
      <w:r w:rsidR="001428F0" w:rsidRPr="003D7EBC">
        <w:rPr>
          <w:sz w:val="24"/>
          <w:szCs w:val="24"/>
        </w:rPr>
        <w:t>d</w:t>
      </w:r>
      <w:r w:rsidR="00874817" w:rsidRPr="003D7EBC">
        <w:rPr>
          <w:sz w:val="24"/>
          <w:szCs w:val="24"/>
        </w:rPr>
        <w:t xml:space="preserve"> in</w:t>
      </w:r>
      <w:r w:rsidR="00F6413C" w:rsidRPr="003D7EBC">
        <w:rPr>
          <w:sz w:val="24"/>
          <w:szCs w:val="24"/>
        </w:rPr>
        <w:t xml:space="preserve"> </w:t>
      </w:r>
      <w:r w:rsidR="005D3BA4" w:rsidRPr="003D7EBC">
        <w:rPr>
          <w:sz w:val="24"/>
          <w:szCs w:val="24"/>
        </w:rPr>
        <w:t>unexpected major haemorrhage cases</w:t>
      </w:r>
      <w:r w:rsidR="00982678" w:rsidRPr="003D7EBC">
        <w:rPr>
          <w:sz w:val="24"/>
          <w:szCs w:val="24"/>
        </w:rPr>
        <w:t>.</w:t>
      </w:r>
      <w:r w:rsidR="00371A11">
        <w:rPr>
          <w:sz w:val="24"/>
          <w:szCs w:val="24"/>
          <w:vertAlign w:val="superscript"/>
        </w:rPr>
        <w:t>1</w:t>
      </w:r>
      <w:r w:rsidR="002A330F">
        <w:rPr>
          <w:sz w:val="24"/>
          <w:szCs w:val="24"/>
          <w:vertAlign w:val="superscript"/>
        </w:rPr>
        <w:t>3</w:t>
      </w:r>
      <w:r w:rsidR="001428F0" w:rsidRPr="003D7EBC">
        <w:rPr>
          <w:sz w:val="24"/>
          <w:szCs w:val="24"/>
        </w:rPr>
        <w:t xml:space="preserve"> </w:t>
      </w:r>
      <w:r w:rsidR="00885EBC">
        <w:rPr>
          <w:sz w:val="24"/>
          <w:szCs w:val="24"/>
        </w:rPr>
        <w:t>A pre-thawed plasma protocol will be associated with wastage and hospitals should asses</w:t>
      </w:r>
      <w:r w:rsidR="00CD6C4D">
        <w:rPr>
          <w:sz w:val="24"/>
          <w:szCs w:val="24"/>
        </w:rPr>
        <w:t>s</w:t>
      </w:r>
      <w:r w:rsidR="00885EBC">
        <w:rPr>
          <w:sz w:val="24"/>
          <w:szCs w:val="24"/>
        </w:rPr>
        <w:t xml:space="preserve"> the level of wastage acceptable against the frequency of massive haemorrhage cases.  </w:t>
      </w:r>
      <w:r w:rsidR="007D207F" w:rsidRPr="003D7EBC">
        <w:rPr>
          <w:sz w:val="24"/>
          <w:szCs w:val="24"/>
        </w:rPr>
        <w:t xml:space="preserve">Hospitals should be aware that the time to thaw FFP </w:t>
      </w:r>
      <w:r w:rsidR="00970752">
        <w:rPr>
          <w:sz w:val="24"/>
          <w:szCs w:val="24"/>
        </w:rPr>
        <w:t xml:space="preserve">and cryoprecipitate </w:t>
      </w:r>
      <w:r w:rsidR="007D207F" w:rsidRPr="003D7EBC">
        <w:rPr>
          <w:sz w:val="24"/>
          <w:szCs w:val="24"/>
        </w:rPr>
        <w:t>will differ depending on the thawers and methods used.</w:t>
      </w:r>
      <w:r w:rsidR="002A330F">
        <w:rPr>
          <w:sz w:val="24"/>
          <w:szCs w:val="24"/>
          <w:vertAlign w:val="superscript"/>
        </w:rPr>
        <w:t>15</w:t>
      </w:r>
      <w:r w:rsidR="007D207F" w:rsidRPr="003D7EBC">
        <w:rPr>
          <w:sz w:val="24"/>
          <w:szCs w:val="24"/>
        </w:rPr>
        <w:t xml:space="preserve"> </w:t>
      </w:r>
      <w:r w:rsidR="009022F7" w:rsidRPr="003D7EBC">
        <w:rPr>
          <w:sz w:val="24"/>
          <w:szCs w:val="24"/>
        </w:rPr>
        <w:t>Hospitals should consider the implications for inventory management of holding platelets for rapid use in emergencies.</w:t>
      </w:r>
    </w:p>
    <w:p w14:paraId="3DBE813C" w14:textId="354F9367" w:rsidR="00C00607" w:rsidRPr="003D7EBC" w:rsidRDefault="00782FDF" w:rsidP="00772562">
      <w:pPr>
        <w:keepNext/>
        <w:keepLines/>
        <w:spacing w:before="120" w:line="480" w:lineRule="auto"/>
        <w:outlineLvl w:val="0"/>
        <w:rPr>
          <w:b/>
          <w:bCs/>
          <w:sz w:val="24"/>
          <w:szCs w:val="24"/>
        </w:rPr>
      </w:pPr>
      <w:r w:rsidRPr="003D7EBC">
        <w:rPr>
          <w:b/>
          <w:bCs/>
          <w:sz w:val="24"/>
          <w:szCs w:val="24"/>
        </w:rPr>
        <w:t>Inventory management of stock</w:t>
      </w:r>
    </w:p>
    <w:p w14:paraId="324B7634" w14:textId="18AAE6CA" w:rsidR="002E3273" w:rsidRPr="003D7EBC" w:rsidRDefault="00D5425F" w:rsidP="00772562">
      <w:pPr>
        <w:spacing w:line="480" w:lineRule="auto"/>
        <w:rPr>
          <w:sz w:val="24"/>
          <w:szCs w:val="24"/>
        </w:rPr>
      </w:pPr>
      <w:r w:rsidRPr="003D7EBC">
        <w:rPr>
          <w:i/>
          <w:iCs/>
          <w:sz w:val="24"/>
          <w:szCs w:val="24"/>
        </w:rPr>
        <w:t>Stock management.</w:t>
      </w:r>
      <w:r w:rsidRPr="003D7EBC">
        <w:rPr>
          <w:sz w:val="24"/>
          <w:szCs w:val="24"/>
        </w:rPr>
        <w:t xml:space="preserve"> </w:t>
      </w:r>
      <w:r w:rsidR="00C00607" w:rsidRPr="003D7EBC">
        <w:rPr>
          <w:sz w:val="24"/>
          <w:szCs w:val="24"/>
        </w:rPr>
        <w:t>There needs to be a robust system in place to monitor blood stocks continuously during major bleeding so that stocks can be replaced as quickly as possible</w:t>
      </w:r>
      <w:r w:rsidR="002354EC" w:rsidRPr="00935D26">
        <w:rPr>
          <w:sz w:val="24"/>
          <w:szCs w:val="24"/>
        </w:rPr>
        <w:t>.</w:t>
      </w:r>
      <w:r w:rsidR="00C00607" w:rsidRPr="003D7EBC">
        <w:rPr>
          <w:sz w:val="24"/>
          <w:szCs w:val="24"/>
        </w:rPr>
        <w:t xml:space="preserve"> </w:t>
      </w:r>
      <w:r w:rsidR="002E3273" w:rsidRPr="003D7EBC">
        <w:rPr>
          <w:sz w:val="24"/>
          <w:szCs w:val="24"/>
        </w:rPr>
        <w:t xml:space="preserve">Laboratories should have a stock algorithm listing stock levels held and cut-off levels for ordering further blood components, and </w:t>
      </w:r>
      <w:r w:rsidR="005B0D9A" w:rsidRPr="003D7EBC">
        <w:rPr>
          <w:sz w:val="24"/>
          <w:szCs w:val="24"/>
        </w:rPr>
        <w:t xml:space="preserve">by </w:t>
      </w:r>
      <w:r w:rsidR="002E3273" w:rsidRPr="003D7EBC">
        <w:rPr>
          <w:sz w:val="24"/>
          <w:szCs w:val="24"/>
        </w:rPr>
        <w:t>which delivery mechanism (e.g.</w:t>
      </w:r>
      <w:r w:rsidR="00F771C0" w:rsidRPr="003D7EBC">
        <w:rPr>
          <w:sz w:val="24"/>
          <w:szCs w:val="24"/>
        </w:rPr>
        <w:t>,</w:t>
      </w:r>
      <w:r w:rsidR="002E3273" w:rsidRPr="003D7EBC">
        <w:rPr>
          <w:sz w:val="24"/>
          <w:szCs w:val="24"/>
        </w:rPr>
        <w:t xml:space="preserve"> </w:t>
      </w:r>
      <w:r w:rsidR="002E3273" w:rsidRPr="003D7EBC">
        <w:rPr>
          <w:i/>
          <w:iCs/>
          <w:sz w:val="24"/>
          <w:szCs w:val="24"/>
        </w:rPr>
        <w:t>ad</w:t>
      </w:r>
      <w:r w:rsidR="005B0D9A" w:rsidRPr="003D7EBC">
        <w:rPr>
          <w:i/>
          <w:iCs/>
          <w:sz w:val="24"/>
          <w:szCs w:val="24"/>
        </w:rPr>
        <w:t xml:space="preserve"> </w:t>
      </w:r>
      <w:r w:rsidR="002E3273" w:rsidRPr="003D7EBC">
        <w:rPr>
          <w:i/>
          <w:iCs/>
          <w:sz w:val="24"/>
          <w:szCs w:val="24"/>
        </w:rPr>
        <w:t>hoc</w:t>
      </w:r>
      <w:r w:rsidR="00C63835" w:rsidRPr="003D7EBC">
        <w:rPr>
          <w:sz w:val="24"/>
          <w:szCs w:val="24"/>
        </w:rPr>
        <w:t xml:space="preserve"> or</w:t>
      </w:r>
      <w:r w:rsidR="002E3273" w:rsidRPr="003D7EBC">
        <w:rPr>
          <w:sz w:val="24"/>
          <w:szCs w:val="24"/>
        </w:rPr>
        <w:t xml:space="preserve"> emergency deliveries)</w:t>
      </w:r>
      <w:r w:rsidR="00C63835" w:rsidRPr="003D7EBC">
        <w:rPr>
          <w:sz w:val="24"/>
          <w:szCs w:val="24"/>
        </w:rPr>
        <w:t>.</w:t>
      </w:r>
    </w:p>
    <w:p w14:paraId="71FD16F4" w14:textId="6F09FECB" w:rsidR="00C00607" w:rsidRPr="003D7EBC" w:rsidRDefault="00D5425F" w:rsidP="00772562">
      <w:pPr>
        <w:spacing w:line="480" w:lineRule="auto"/>
        <w:rPr>
          <w:sz w:val="24"/>
          <w:szCs w:val="24"/>
        </w:rPr>
      </w:pPr>
      <w:r w:rsidRPr="003D7EBC">
        <w:rPr>
          <w:i/>
          <w:iCs/>
          <w:sz w:val="24"/>
          <w:szCs w:val="24"/>
        </w:rPr>
        <w:t>Remote fridges.</w:t>
      </w:r>
      <w:r w:rsidRPr="003D7EBC">
        <w:rPr>
          <w:sz w:val="24"/>
          <w:szCs w:val="24"/>
        </w:rPr>
        <w:t xml:space="preserve"> </w:t>
      </w:r>
      <w:r w:rsidR="00A02554" w:rsidRPr="003D7EBC">
        <w:rPr>
          <w:sz w:val="24"/>
          <w:szCs w:val="24"/>
        </w:rPr>
        <w:t xml:space="preserve">Emergency group O RBC should be clearly marked as such in </w:t>
      </w:r>
      <w:r w:rsidR="00787DFE" w:rsidRPr="003D7EBC">
        <w:rPr>
          <w:sz w:val="24"/>
          <w:szCs w:val="24"/>
        </w:rPr>
        <w:t xml:space="preserve">remote fridges </w:t>
      </w:r>
      <w:r w:rsidR="00A02554" w:rsidRPr="003D7EBC">
        <w:rPr>
          <w:sz w:val="24"/>
          <w:szCs w:val="24"/>
        </w:rPr>
        <w:t>and separated from other stock</w:t>
      </w:r>
      <w:r w:rsidR="00C00607" w:rsidRPr="003D7EBC">
        <w:rPr>
          <w:sz w:val="24"/>
          <w:szCs w:val="24"/>
        </w:rPr>
        <w:t xml:space="preserve">. </w:t>
      </w:r>
      <w:r w:rsidR="00345362" w:rsidRPr="003D7EBC">
        <w:rPr>
          <w:sz w:val="24"/>
          <w:szCs w:val="24"/>
        </w:rPr>
        <w:t xml:space="preserve"> </w:t>
      </w:r>
      <w:r w:rsidR="007211EA" w:rsidRPr="003D7EBC">
        <w:rPr>
          <w:sz w:val="24"/>
          <w:szCs w:val="24"/>
        </w:rPr>
        <w:t xml:space="preserve">When components are removed from a remote blood fridge there must be a mechanism to inform the blood bank (electronic or </w:t>
      </w:r>
      <w:r w:rsidR="005B0D9A" w:rsidRPr="003D7EBC">
        <w:rPr>
          <w:sz w:val="24"/>
          <w:szCs w:val="24"/>
        </w:rPr>
        <w:t xml:space="preserve">verbal </w:t>
      </w:r>
      <w:r w:rsidR="007211EA" w:rsidRPr="003D7EBC">
        <w:rPr>
          <w:sz w:val="24"/>
          <w:szCs w:val="24"/>
        </w:rPr>
        <w:t>communication).</w:t>
      </w:r>
    </w:p>
    <w:p w14:paraId="592B1FD6" w14:textId="618D83A4" w:rsidR="004F1993" w:rsidRPr="003D7EBC" w:rsidRDefault="004F1993" w:rsidP="004F1993">
      <w:pPr>
        <w:spacing w:line="480" w:lineRule="auto"/>
        <w:rPr>
          <w:sz w:val="24"/>
          <w:szCs w:val="24"/>
        </w:rPr>
      </w:pPr>
      <w:r w:rsidRPr="003D7EBC">
        <w:rPr>
          <w:i/>
          <w:iCs/>
          <w:sz w:val="24"/>
          <w:szCs w:val="24"/>
        </w:rPr>
        <w:lastRenderedPageBreak/>
        <w:t>Releasing emergency components from the blood bank</w:t>
      </w:r>
      <w:r w:rsidRPr="003D7EBC">
        <w:rPr>
          <w:sz w:val="24"/>
          <w:szCs w:val="24"/>
        </w:rPr>
        <w:t xml:space="preserve">: To prevent delay, consider releasing blood components when they are ready rather than waiting for all the components to be prepared before issuing them in packs. This is particularly important for hospitals </w:t>
      </w:r>
      <w:r w:rsidR="005B0D9A" w:rsidRPr="003D7EBC">
        <w:rPr>
          <w:sz w:val="24"/>
          <w:szCs w:val="24"/>
        </w:rPr>
        <w:t xml:space="preserve">that </w:t>
      </w:r>
      <w:r w:rsidRPr="003D7EBC">
        <w:rPr>
          <w:sz w:val="24"/>
          <w:szCs w:val="24"/>
        </w:rPr>
        <w:t>do not hold pre-thawed plasma</w:t>
      </w:r>
    </w:p>
    <w:p w14:paraId="60440231" w14:textId="58B658BC" w:rsidR="00C00607" w:rsidRPr="003D7EBC" w:rsidRDefault="00D5425F" w:rsidP="00772562">
      <w:pPr>
        <w:spacing w:line="480" w:lineRule="auto"/>
        <w:rPr>
          <w:sz w:val="24"/>
          <w:szCs w:val="24"/>
        </w:rPr>
      </w:pPr>
      <w:r w:rsidRPr="003D7EBC">
        <w:rPr>
          <w:i/>
          <w:iCs/>
          <w:sz w:val="24"/>
          <w:szCs w:val="24"/>
        </w:rPr>
        <w:t xml:space="preserve">Return of blood components to stock. </w:t>
      </w:r>
      <w:r w:rsidR="00C00607" w:rsidRPr="003D7EBC">
        <w:rPr>
          <w:sz w:val="24"/>
          <w:szCs w:val="24"/>
        </w:rPr>
        <w:t xml:space="preserve">If blood components are not </w:t>
      </w:r>
      <w:r w:rsidR="00F85E01" w:rsidRPr="003D7EBC">
        <w:rPr>
          <w:sz w:val="24"/>
          <w:szCs w:val="24"/>
        </w:rPr>
        <w:t>needed</w:t>
      </w:r>
      <w:r w:rsidR="00C00607" w:rsidRPr="003D7EBC">
        <w:rPr>
          <w:sz w:val="24"/>
          <w:szCs w:val="24"/>
        </w:rPr>
        <w:t xml:space="preserve"> once received in the clinical area, there should be </w:t>
      </w:r>
      <w:r w:rsidR="00D164F4" w:rsidRPr="003D7EBC">
        <w:rPr>
          <w:sz w:val="24"/>
          <w:szCs w:val="24"/>
        </w:rPr>
        <w:t>a clear r</w:t>
      </w:r>
      <w:r w:rsidR="00C00607" w:rsidRPr="003D7EBC">
        <w:rPr>
          <w:sz w:val="24"/>
          <w:szCs w:val="24"/>
        </w:rPr>
        <w:t xml:space="preserve">ecord </w:t>
      </w:r>
      <w:r w:rsidR="00D164F4" w:rsidRPr="003D7EBC">
        <w:rPr>
          <w:sz w:val="24"/>
          <w:szCs w:val="24"/>
        </w:rPr>
        <w:t xml:space="preserve">of </w:t>
      </w:r>
      <w:r w:rsidR="00C00607" w:rsidRPr="003D7EBC">
        <w:rPr>
          <w:sz w:val="24"/>
          <w:szCs w:val="24"/>
        </w:rPr>
        <w:t>the identity of the person returning the units</w:t>
      </w:r>
      <w:r w:rsidR="00D164F4" w:rsidRPr="003D7EBC">
        <w:rPr>
          <w:sz w:val="24"/>
          <w:szCs w:val="24"/>
        </w:rPr>
        <w:t xml:space="preserve">, and </w:t>
      </w:r>
      <w:r w:rsidR="00C00607" w:rsidRPr="003D7EBC">
        <w:rPr>
          <w:sz w:val="24"/>
          <w:szCs w:val="24"/>
        </w:rPr>
        <w:t>the date</w:t>
      </w:r>
      <w:r w:rsidR="002E3273" w:rsidRPr="003D7EBC">
        <w:rPr>
          <w:sz w:val="24"/>
          <w:szCs w:val="24"/>
        </w:rPr>
        <w:t>/</w:t>
      </w:r>
      <w:r w:rsidR="00C00607" w:rsidRPr="003D7EBC">
        <w:rPr>
          <w:sz w:val="24"/>
          <w:szCs w:val="24"/>
        </w:rPr>
        <w:t xml:space="preserve">time </w:t>
      </w:r>
      <w:r w:rsidR="00D164F4" w:rsidRPr="003D7EBC">
        <w:rPr>
          <w:sz w:val="24"/>
          <w:szCs w:val="24"/>
        </w:rPr>
        <w:t xml:space="preserve">when units were </w:t>
      </w:r>
      <w:r w:rsidR="00C00607" w:rsidRPr="003D7EBC">
        <w:rPr>
          <w:sz w:val="24"/>
          <w:szCs w:val="24"/>
        </w:rPr>
        <w:t>placed in storage or returned to the laboratory.</w:t>
      </w:r>
      <w:r w:rsidR="002E3273" w:rsidRPr="003D7EBC">
        <w:rPr>
          <w:sz w:val="24"/>
          <w:szCs w:val="24"/>
        </w:rPr>
        <w:t xml:space="preserve"> </w:t>
      </w:r>
      <w:r w:rsidR="007211EA" w:rsidRPr="003D7EBC">
        <w:rPr>
          <w:sz w:val="24"/>
          <w:szCs w:val="24"/>
        </w:rPr>
        <w:t>U</w:t>
      </w:r>
      <w:r w:rsidR="00C00607" w:rsidRPr="003D7EBC">
        <w:rPr>
          <w:sz w:val="24"/>
          <w:szCs w:val="24"/>
        </w:rPr>
        <w:t xml:space="preserve">nused RBC and FFP </w:t>
      </w:r>
      <w:r w:rsidR="007211EA" w:rsidRPr="003D7EBC">
        <w:rPr>
          <w:sz w:val="24"/>
          <w:szCs w:val="24"/>
        </w:rPr>
        <w:t xml:space="preserve">removed from cold storage within 30 minutes </w:t>
      </w:r>
      <w:r w:rsidR="002E3273" w:rsidRPr="003D7EBC">
        <w:rPr>
          <w:sz w:val="24"/>
          <w:szCs w:val="24"/>
        </w:rPr>
        <w:t xml:space="preserve">can be </w:t>
      </w:r>
      <w:r w:rsidR="007211EA" w:rsidRPr="003D7EBC">
        <w:rPr>
          <w:sz w:val="24"/>
          <w:szCs w:val="24"/>
        </w:rPr>
        <w:t>returned to</w:t>
      </w:r>
      <w:r w:rsidR="002E3273" w:rsidRPr="003D7EBC">
        <w:rPr>
          <w:sz w:val="24"/>
          <w:szCs w:val="24"/>
        </w:rPr>
        <w:t xml:space="preserve"> </w:t>
      </w:r>
      <w:r w:rsidR="00C00607" w:rsidRPr="003D7EBC">
        <w:rPr>
          <w:sz w:val="24"/>
          <w:szCs w:val="24"/>
        </w:rPr>
        <w:t xml:space="preserve">temperature control </w:t>
      </w:r>
      <w:r w:rsidR="007211EA" w:rsidRPr="003D7EBC">
        <w:rPr>
          <w:sz w:val="24"/>
          <w:szCs w:val="24"/>
        </w:rPr>
        <w:t xml:space="preserve">storage by clinical or laboratory </w:t>
      </w:r>
      <w:r w:rsidR="004C04D8" w:rsidRPr="003D7EBC">
        <w:rPr>
          <w:sz w:val="24"/>
          <w:szCs w:val="24"/>
        </w:rPr>
        <w:t>staff</w:t>
      </w:r>
      <w:r w:rsidR="00C00607" w:rsidRPr="003D7EBC">
        <w:rPr>
          <w:sz w:val="24"/>
          <w:szCs w:val="24"/>
        </w:rPr>
        <w:t xml:space="preserve">. If </w:t>
      </w:r>
      <w:r w:rsidR="00A02554" w:rsidRPr="003D7EBC">
        <w:rPr>
          <w:sz w:val="24"/>
          <w:szCs w:val="24"/>
        </w:rPr>
        <w:t xml:space="preserve">RBC and FFP </w:t>
      </w:r>
      <w:r w:rsidR="00C00607" w:rsidRPr="003D7EBC">
        <w:rPr>
          <w:sz w:val="24"/>
          <w:szCs w:val="24"/>
        </w:rPr>
        <w:t xml:space="preserve">have been out of their permitted temperature range beyond </w:t>
      </w:r>
      <w:r w:rsidR="004C04D8" w:rsidRPr="003D7EBC">
        <w:rPr>
          <w:sz w:val="24"/>
          <w:szCs w:val="24"/>
        </w:rPr>
        <w:t>30 minutes</w:t>
      </w:r>
      <w:r w:rsidR="007211EA" w:rsidRPr="003D7EBC">
        <w:rPr>
          <w:sz w:val="24"/>
          <w:szCs w:val="24"/>
        </w:rPr>
        <w:t xml:space="preserve"> clinical staff should return the units to the laboratory immediately.</w:t>
      </w:r>
      <w:r w:rsidR="004C04D8" w:rsidRPr="003D7EBC">
        <w:rPr>
          <w:sz w:val="24"/>
          <w:szCs w:val="24"/>
        </w:rPr>
        <w:t xml:space="preserve">  The laboratory</w:t>
      </w:r>
      <w:r w:rsidR="00C00607" w:rsidRPr="003D7EBC">
        <w:rPr>
          <w:sz w:val="24"/>
          <w:szCs w:val="24"/>
        </w:rPr>
        <w:t xml:space="preserve"> </w:t>
      </w:r>
      <w:r w:rsidR="003743F8" w:rsidRPr="003D7EBC">
        <w:rPr>
          <w:sz w:val="24"/>
          <w:szCs w:val="24"/>
        </w:rPr>
        <w:t xml:space="preserve">must </w:t>
      </w:r>
      <w:r w:rsidR="004C04D8" w:rsidRPr="003D7EBC">
        <w:rPr>
          <w:sz w:val="24"/>
          <w:szCs w:val="24"/>
        </w:rPr>
        <w:t>have</w:t>
      </w:r>
      <w:r w:rsidR="00C00607" w:rsidRPr="003D7EBC">
        <w:rPr>
          <w:sz w:val="24"/>
          <w:szCs w:val="24"/>
        </w:rPr>
        <w:t xml:space="preserve"> </w:t>
      </w:r>
      <w:r w:rsidR="003861EE" w:rsidRPr="003D7EBC">
        <w:rPr>
          <w:sz w:val="24"/>
          <w:szCs w:val="24"/>
        </w:rPr>
        <w:t xml:space="preserve">clear </w:t>
      </w:r>
      <w:r w:rsidR="004C04D8" w:rsidRPr="003D7EBC">
        <w:rPr>
          <w:sz w:val="24"/>
          <w:szCs w:val="24"/>
        </w:rPr>
        <w:t xml:space="preserve">policies for recording the fate of units out of </w:t>
      </w:r>
      <w:r w:rsidR="006854AA" w:rsidRPr="003D7EBC">
        <w:rPr>
          <w:sz w:val="24"/>
          <w:szCs w:val="24"/>
        </w:rPr>
        <w:t>temperature-controlled</w:t>
      </w:r>
      <w:r w:rsidR="004C04D8" w:rsidRPr="003D7EBC">
        <w:rPr>
          <w:sz w:val="24"/>
          <w:szCs w:val="24"/>
        </w:rPr>
        <w:t xml:space="preserve"> storage for greater than 30 minutes</w:t>
      </w:r>
      <w:r w:rsidR="00C00607" w:rsidRPr="003D7EBC">
        <w:rPr>
          <w:sz w:val="24"/>
          <w:szCs w:val="24"/>
        </w:rPr>
        <w:t xml:space="preserve">. </w:t>
      </w:r>
      <w:r w:rsidR="003861EE" w:rsidRPr="003D7EBC">
        <w:rPr>
          <w:sz w:val="24"/>
          <w:szCs w:val="24"/>
        </w:rPr>
        <w:t>Laboratories should have a policy to apply the 60</w:t>
      </w:r>
      <w:r w:rsidR="00216A9F" w:rsidRPr="003D7EBC">
        <w:rPr>
          <w:sz w:val="24"/>
          <w:szCs w:val="24"/>
        </w:rPr>
        <w:t>-</w:t>
      </w:r>
      <w:r w:rsidR="003861EE" w:rsidRPr="003D7EBC">
        <w:rPr>
          <w:sz w:val="24"/>
          <w:szCs w:val="24"/>
        </w:rPr>
        <w:t>minute rule</w:t>
      </w:r>
      <w:r w:rsidR="00E8026E" w:rsidRPr="003D7EBC">
        <w:rPr>
          <w:sz w:val="24"/>
          <w:szCs w:val="24"/>
        </w:rPr>
        <w:t>,</w:t>
      </w:r>
      <w:r w:rsidR="003861EE" w:rsidRPr="003D7EBC">
        <w:rPr>
          <w:sz w:val="24"/>
          <w:szCs w:val="24"/>
        </w:rPr>
        <w:t xml:space="preserve"> where relevant</w:t>
      </w:r>
      <w:r w:rsidR="00E8026E" w:rsidRPr="003D7EBC">
        <w:rPr>
          <w:sz w:val="24"/>
          <w:szCs w:val="24"/>
        </w:rPr>
        <w:t>,</w:t>
      </w:r>
      <w:r w:rsidR="003861EE" w:rsidRPr="003D7EBC">
        <w:rPr>
          <w:sz w:val="24"/>
          <w:szCs w:val="24"/>
        </w:rPr>
        <w:t xml:space="preserve"> aiming to reduce red cell wastage</w:t>
      </w:r>
      <w:r w:rsidR="00935D26">
        <w:rPr>
          <w:sz w:val="24"/>
          <w:szCs w:val="24"/>
        </w:rPr>
        <w:t>.</w:t>
      </w:r>
      <w:r w:rsidR="00935D26">
        <w:rPr>
          <w:sz w:val="24"/>
          <w:szCs w:val="24"/>
          <w:highlight w:val="yellow"/>
          <w:vertAlign w:val="superscript"/>
        </w:rPr>
        <w:t>16</w:t>
      </w:r>
      <w:r w:rsidR="00935D26">
        <w:rPr>
          <w:sz w:val="24"/>
          <w:szCs w:val="24"/>
          <w:vertAlign w:val="superscript"/>
        </w:rPr>
        <w:t xml:space="preserve"> </w:t>
      </w:r>
      <w:r w:rsidR="00C00607" w:rsidRPr="003D7EBC">
        <w:rPr>
          <w:sz w:val="24"/>
          <w:szCs w:val="24"/>
        </w:rPr>
        <w:t>Platelets</w:t>
      </w:r>
      <w:r w:rsidR="00CC1FD5" w:rsidRPr="003D7EBC">
        <w:rPr>
          <w:sz w:val="24"/>
          <w:szCs w:val="24"/>
        </w:rPr>
        <w:t xml:space="preserve"> </w:t>
      </w:r>
      <w:r w:rsidR="004F5C96" w:rsidRPr="003D7EBC">
        <w:rPr>
          <w:sz w:val="24"/>
          <w:szCs w:val="24"/>
        </w:rPr>
        <w:t>and</w:t>
      </w:r>
      <w:r w:rsidR="00CC1FD5" w:rsidRPr="003D7EBC">
        <w:rPr>
          <w:sz w:val="24"/>
          <w:szCs w:val="24"/>
        </w:rPr>
        <w:t xml:space="preserve"> cryoprecipitate</w:t>
      </w:r>
      <w:r w:rsidR="00C00607" w:rsidRPr="003D7EBC">
        <w:rPr>
          <w:sz w:val="24"/>
          <w:szCs w:val="24"/>
        </w:rPr>
        <w:t xml:space="preserve"> should be returned to the laboratory as soon as possible</w:t>
      </w:r>
      <w:r w:rsidR="00105CDA" w:rsidRPr="003D7EBC">
        <w:rPr>
          <w:sz w:val="24"/>
          <w:szCs w:val="24"/>
        </w:rPr>
        <w:t xml:space="preserve"> and never stored in a refrigerator</w:t>
      </w:r>
      <w:r w:rsidR="00C00607" w:rsidRPr="003D7EBC">
        <w:rPr>
          <w:sz w:val="24"/>
          <w:szCs w:val="24"/>
        </w:rPr>
        <w:t xml:space="preserve">. </w:t>
      </w:r>
    </w:p>
    <w:p w14:paraId="76896FC7" w14:textId="657DF271" w:rsidR="00982678" w:rsidRPr="003D7EBC" w:rsidRDefault="00193ABA" w:rsidP="00772562">
      <w:pPr>
        <w:keepNext/>
        <w:keepLines/>
        <w:spacing w:before="120" w:line="480" w:lineRule="auto"/>
        <w:outlineLvl w:val="0"/>
        <w:rPr>
          <w:b/>
          <w:bCs/>
          <w:sz w:val="24"/>
          <w:szCs w:val="24"/>
        </w:rPr>
      </w:pPr>
      <w:r w:rsidRPr="003D7EBC">
        <w:rPr>
          <w:b/>
          <w:bCs/>
          <w:sz w:val="24"/>
          <w:szCs w:val="24"/>
        </w:rPr>
        <w:t>Transfusion t</w:t>
      </w:r>
      <w:r w:rsidR="00982678" w:rsidRPr="003D7EBC">
        <w:rPr>
          <w:b/>
          <w:bCs/>
          <w:sz w:val="24"/>
          <w:szCs w:val="24"/>
        </w:rPr>
        <w:t xml:space="preserve">raceability </w:t>
      </w:r>
    </w:p>
    <w:p w14:paraId="17216516" w14:textId="00507BC0" w:rsidR="00D262AC" w:rsidRPr="003D7EBC" w:rsidRDefault="003A5E28" w:rsidP="00772562">
      <w:pPr>
        <w:tabs>
          <w:tab w:val="left" w:pos="7560"/>
        </w:tabs>
        <w:spacing w:line="480" w:lineRule="auto"/>
        <w:rPr>
          <w:sz w:val="24"/>
          <w:szCs w:val="24"/>
        </w:rPr>
      </w:pPr>
      <w:r w:rsidRPr="003D7EBC">
        <w:rPr>
          <w:sz w:val="24"/>
          <w:szCs w:val="24"/>
        </w:rPr>
        <w:t>The fate of all</w:t>
      </w:r>
      <w:r w:rsidR="00982678" w:rsidRPr="003D7EBC">
        <w:rPr>
          <w:sz w:val="24"/>
          <w:szCs w:val="24"/>
        </w:rPr>
        <w:t xml:space="preserve"> blood component</w:t>
      </w:r>
      <w:r w:rsidRPr="003D7EBC">
        <w:rPr>
          <w:sz w:val="24"/>
          <w:szCs w:val="24"/>
        </w:rPr>
        <w:t>s</w:t>
      </w:r>
      <w:r w:rsidR="00982678" w:rsidRPr="003D7EBC">
        <w:rPr>
          <w:sz w:val="24"/>
          <w:szCs w:val="24"/>
        </w:rPr>
        <w:t xml:space="preserve"> </w:t>
      </w:r>
      <w:r w:rsidR="0030593E" w:rsidRPr="003D7EBC">
        <w:rPr>
          <w:sz w:val="24"/>
          <w:szCs w:val="24"/>
        </w:rPr>
        <w:t xml:space="preserve">issued </w:t>
      </w:r>
      <w:r w:rsidR="00982678" w:rsidRPr="003D7EBC">
        <w:rPr>
          <w:sz w:val="24"/>
          <w:szCs w:val="24"/>
        </w:rPr>
        <w:t xml:space="preserve">must be </w:t>
      </w:r>
      <w:r w:rsidR="00EE5E51">
        <w:rPr>
          <w:sz w:val="24"/>
          <w:szCs w:val="24"/>
        </w:rPr>
        <w:t>recorded in th</w:t>
      </w:r>
      <w:r w:rsidR="00EE5E51" w:rsidRPr="003D7EBC">
        <w:rPr>
          <w:sz w:val="24"/>
          <w:szCs w:val="24"/>
        </w:rPr>
        <w:t xml:space="preserve">e hospital transfusion laboratory records </w:t>
      </w:r>
      <w:r w:rsidR="00EE5E51">
        <w:rPr>
          <w:sz w:val="24"/>
          <w:szCs w:val="24"/>
        </w:rPr>
        <w:t xml:space="preserve">and </w:t>
      </w:r>
      <w:r w:rsidR="00982678" w:rsidRPr="003D7EBC">
        <w:rPr>
          <w:sz w:val="24"/>
          <w:szCs w:val="24"/>
        </w:rPr>
        <w:t>documented in the clinical notes</w:t>
      </w:r>
      <w:r w:rsidR="00EE5E51">
        <w:rPr>
          <w:sz w:val="24"/>
          <w:szCs w:val="24"/>
        </w:rPr>
        <w:t>, with all records</w:t>
      </w:r>
      <w:r w:rsidR="00982678" w:rsidRPr="003D7EBC">
        <w:rPr>
          <w:sz w:val="24"/>
          <w:szCs w:val="24"/>
        </w:rPr>
        <w:t xml:space="preserve"> be</w:t>
      </w:r>
      <w:r w:rsidR="00EE5E51">
        <w:rPr>
          <w:sz w:val="24"/>
          <w:szCs w:val="24"/>
        </w:rPr>
        <w:t>ing</w:t>
      </w:r>
      <w:r w:rsidR="00982678" w:rsidRPr="003D7EBC">
        <w:rPr>
          <w:sz w:val="24"/>
          <w:szCs w:val="24"/>
        </w:rPr>
        <w:t xml:space="preserve"> kept for 30 years </w:t>
      </w:r>
      <w:r w:rsidR="0030593E" w:rsidRPr="003D7EBC">
        <w:rPr>
          <w:sz w:val="24"/>
          <w:szCs w:val="24"/>
        </w:rPr>
        <w:t xml:space="preserve">in line with </w:t>
      </w:r>
      <w:r w:rsidR="00982678" w:rsidRPr="003D7EBC">
        <w:rPr>
          <w:sz w:val="24"/>
          <w:szCs w:val="24"/>
        </w:rPr>
        <w:t xml:space="preserve">the </w:t>
      </w:r>
      <w:bookmarkStart w:id="4" w:name="_Hlk98518089"/>
      <w:r w:rsidR="00982678" w:rsidRPr="003D7EBC">
        <w:rPr>
          <w:sz w:val="24"/>
          <w:szCs w:val="24"/>
        </w:rPr>
        <w:t>Blood Safety and Quality Regulations (2005)</w:t>
      </w:r>
      <w:r w:rsidR="0030593E" w:rsidRPr="003D7EBC">
        <w:rPr>
          <w:sz w:val="24"/>
          <w:szCs w:val="24"/>
        </w:rPr>
        <w:t>.</w:t>
      </w:r>
      <w:bookmarkEnd w:id="4"/>
      <w:r w:rsidR="00371A11">
        <w:rPr>
          <w:sz w:val="24"/>
          <w:szCs w:val="24"/>
          <w:vertAlign w:val="superscript"/>
        </w:rPr>
        <w:t>1</w:t>
      </w:r>
      <w:r w:rsidR="00935D26">
        <w:rPr>
          <w:sz w:val="24"/>
          <w:szCs w:val="24"/>
          <w:vertAlign w:val="superscript"/>
        </w:rPr>
        <w:t>7</w:t>
      </w:r>
      <w:r w:rsidR="00371A11">
        <w:rPr>
          <w:sz w:val="24"/>
          <w:szCs w:val="24"/>
          <w:vertAlign w:val="superscript"/>
        </w:rPr>
        <w:t xml:space="preserve"> </w:t>
      </w:r>
      <w:r w:rsidRPr="003D7EBC">
        <w:rPr>
          <w:sz w:val="24"/>
          <w:szCs w:val="24"/>
        </w:rPr>
        <w:t>A vein</w:t>
      </w:r>
      <w:r w:rsidR="00E248C2" w:rsidRPr="003D7EBC">
        <w:rPr>
          <w:sz w:val="24"/>
          <w:szCs w:val="24"/>
        </w:rPr>
        <w:t>-</w:t>
      </w:r>
      <w:r w:rsidRPr="003D7EBC">
        <w:rPr>
          <w:sz w:val="24"/>
          <w:szCs w:val="24"/>
        </w:rPr>
        <w:t>to</w:t>
      </w:r>
      <w:r w:rsidR="00E248C2" w:rsidRPr="003D7EBC">
        <w:rPr>
          <w:sz w:val="24"/>
          <w:szCs w:val="24"/>
        </w:rPr>
        <w:t>-</w:t>
      </w:r>
      <w:r w:rsidRPr="003D7EBC">
        <w:rPr>
          <w:sz w:val="24"/>
          <w:szCs w:val="24"/>
        </w:rPr>
        <w:t xml:space="preserve">vein electronic blood tracking system can </w:t>
      </w:r>
      <w:r w:rsidR="00C246CE">
        <w:rPr>
          <w:sz w:val="24"/>
          <w:szCs w:val="24"/>
        </w:rPr>
        <w:t>i</w:t>
      </w:r>
      <w:r w:rsidRPr="003D7EBC">
        <w:rPr>
          <w:sz w:val="24"/>
          <w:szCs w:val="24"/>
        </w:rPr>
        <w:t xml:space="preserve">mprove efficiency and safety of </w:t>
      </w:r>
      <w:r w:rsidR="001E5A1F">
        <w:rPr>
          <w:sz w:val="24"/>
          <w:szCs w:val="24"/>
        </w:rPr>
        <w:t xml:space="preserve">all </w:t>
      </w:r>
      <w:r w:rsidRPr="003D7EBC">
        <w:rPr>
          <w:sz w:val="24"/>
          <w:szCs w:val="24"/>
        </w:rPr>
        <w:t>blood transfusion processes</w:t>
      </w:r>
      <w:r w:rsidR="004E55F7" w:rsidRPr="003D7EBC">
        <w:rPr>
          <w:sz w:val="24"/>
          <w:szCs w:val="24"/>
        </w:rPr>
        <w:t>.</w:t>
      </w:r>
      <w:r w:rsidR="00E50061">
        <w:rPr>
          <w:sz w:val="24"/>
          <w:szCs w:val="24"/>
          <w:vertAlign w:val="superscript"/>
        </w:rPr>
        <w:t>1</w:t>
      </w:r>
      <w:r w:rsidR="00935D26">
        <w:rPr>
          <w:sz w:val="24"/>
          <w:szCs w:val="24"/>
          <w:vertAlign w:val="superscript"/>
        </w:rPr>
        <w:t>8</w:t>
      </w:r>
      <w:r w:rsidRPr="003D7EBC">
        <w:rPr>
          <w:sz w:val="24"/>
          <w:szCs w:val="24"/>
        </w:rPr>
        <w:t xml:space="preserve"> These systems can </w:t>
      </w:r>
      <w:r w:rsidR="00F85E01" w:rsidRPr="003D7EBC">
        <w:rPr>
          <w:sz w:val="24"/>
          <w:szCs w:val="24"/>
        </w:rPr>
        <w:t>aid</w:t>
      </w:r>
      <w:r w:rsidRPr="003D7EBC">
        <w:rPr>
          <w:sz w:val="24"/>
          <w:szCs w:val="24"/>
        </w:rPr>
        <w:t xml:space="preserve"> with rapid availability of blood, </w:t>
      </w:r>
      <w:r w:rsidR="009114BE" w:rsidRPr="003D7EBC">
        <w:rPr>
          <w:sz w:val="24"/>
          <w:szCs w:val="24"/>
        </w:rPr>
        <w:t xml:space="preserve">improve patient safety at administration, </w:t>
      </w:r>
      <w:r w:rsidRPr="003D7EBC">
        <w:rPr>
          <w:sz w:val="24"/>
          <w:szCs w:val="24"/>
        </w:rPr>
        <w:t>reduc</w:t>
      </w:r>
      <w:r w:rsidR="009114BE" w:rsidRPr="003D7EBC">
        <w:rPr>
          <w:sz w:val="24"/>
          <w:szCs w:val="24"/>
        </w:rPr>
        <w:t>e</w:t>
      </w:r>
      <w:r w:rsidR="00FA1C0A" w:rsidRPr="003D7EBC">
        <w:rPr>
          <w:sz w:val="24"/>
          <w:szCs w:val="24"/>
        </w:rPr>
        <w:t xml:space="preserve"> sampling errors and improve</w:t>
      </w:r>
      <w:r w:rsidRPr="003D7EBC">
        <w:rPr>
          <w:sz w:val="24"/>
          <w:szCs w:val="24"/>
        </w:rPr>
        <w:t xml:space="preserve"> blood component traceability</w:t>
      </w:r>
      <w:r w:rsidR="00C246CE">
        <w:rPr>
          <w:sz w:val="24"/>
          <w:szCs w:val="24"/>
        </w:rPr>
        <w:t xml:space="preserve">.  </w:t>
      </w:r>
      <w:r w:rsidR="00D262AC" w:rsidRPr="003D7EBC">
        <w:rPr>
          <w:sz w:val="24"/>
          <w:szCs w:val="24"/>
        </w:rPr>
        <w:t xml:space="preserve">Electronic tracking systems may be able to alert laboratory staff </w:t>
      </w:r>
      <w:r w:rsidR="0030593E" w:rsidRPr="003D7EBC">
        <w:rPr>
          <w:sz w:val="24"/>
          <w:szCs w:val="24"/>
        </w:rPr>
        <w:t xml:space="preserve">of </w:t>
      </w:r>
      <w:r w:rsidR="00D262AC" w:rsidRPr="003D7EBC">
        <w:rPr>
          <w:sz w:val="24"/>
          <w:szCs w:val="24"/>
        </w:rPr>
        <w:t xml:space="preserve">removal of emergency blood from remote fridges. Any removal must be </w:t>
      </w:r>
      <w:r w:rsidR="00D262AC" w:rsidRPr="003D7EBC">
        <w:rPr>
          <w:sz w:val="24"/>
          <w:szCs w:val="24"/>
        </w:rPr>
        <w:lastRenderedPageBreak/>
        <w:t>followed up</w:t>
      </w:r>
      <w:r w:rsidR="005D3BA4" w:rsidRPr="003D7EBC">
        <w:rPr>
          <w:sz w:val="24"/>
          <w:szCs w:val="24"/>
        </w:rPr>
        <w:t xml:space="preserve"> to </w:t>
      </w:r>
      <w:r w:rsidR="00E7714D">
        <w:rPr>
          <w:sz w:val="24"/>
          <w:szCs w:val="24"/>
        </w:rPr>
        <w:t>determine</w:t>
      </w:r>
      <w:r w:rsidR="005D3BA4" w:rsidRPr="003D7EBC">
        <w:rPr>
          <w:sz w:val="24"/>
          <w:szCs w:val="24"/>
        </w:rPr>
        <w:t xml:space="preserve"> if components have been </w:t>
      </w:r>
      <w:r w:rsidR="00D84303" w:rsidRPr="003D7EBC">
        <w:rPr>
          <w:sz w:val="24"/>
          <w:szCs w:val="24"/>
        </w:rPr>
        <w:t>transfused</w:t>
      </w:r>
      <w:r w:rsidR="00E7714D">
        <w:rPr>
          <w:sz w:val="24"/>
          <w:szCs w:val="24"/>
        </w:rPr>
        <w:t>;</w:t>
      </w:r>
      <w:r w:rsidR="00D84303" w:rsidRPr="003D7EBC">
        <w:rPr>
          <w:sz w:val="24"/>
          <w:szCs w:val="24"/>
        </w:rPr>
        <w:t xml:space="preserve"> if</w:t>
      </w:r>
      <w:r w:rsidR="005D3BA4" w:rsidRPr="003D7EBC">
        <w:rPr>
          <w:sz w:val="24"/>
          <w:szCs w:val="24"/>
        </w:rPr>
        <w:t xml:space="preserve"> the cold chain has been broken and if re-stocking is </w:t>
      </w:r>
      <w:r w:rsidR="007B7693" w:rsidRPr="003D7EBC">
        <w:rPr>
          <w:sz w:val="24"/>
          <w:szCs w:val="24"/>
        </w:rPr>
        <w:t>needed</w:t>
      </w:r>
      <w:r w:rsidR="00034011" w:rsidRPr="003D7EBC">
        <w:rPr>
          <w:sz w:val="24"/>
          <w:szCs w:val="24"/>
        </w:rPr>
        <w:t>.</w:t>
      </w:r>
      <w:r w:rsidR="00D262AC" w:rsidRPr="003D7EBC">
        <w:rPr>
          <w:sz w:val="24"/>
          <w:szCs w:val="24"/>
        </w:rPr>
        <w:t xml:space="preserve"> Where electronic blood tracking systems are in use, clinical staff must be aware of the procedures, and be trained in obtaining emergency blood </w:t>
      </w:r>
      <w:r w:rsidR="00304A53" w:rsidRPr="003D7EBC">
        <w:rPr>
          <w:sz w:val="24"/>
          <w:szCs w:val="24"/>
        </w:rPr>
        <w:t xml:space="preserve">components </w:t>
      </w:r>
      <w:r w:rsidR="00D262AC" w:rsidRPr="003D7EBC">
        <w:rPr>
          <w:sz w:val="24"/>
          <w:szCs w:val="24"/>
        </w:rPr>
        <w:t xml:space="preserve">from blood fridges via electronic tracking. </w:t>
      </w:r>
    </w:p>
    <w:p w14:paraId="5829E3D9" w14:textId="043F2900" w:rsidR="00E218DF" w:rsidRPr="008C3D40" w:rsidRDefault="00193ABA" w:rsidP="008C3D40">
      <w:pPr>
        <w:spacing w:before="120" w:line="480" w:lineRule="auto"/>
        <w:outlineLvl w:val="0"/>
        <w:rPr>
          <w:b/>
          <w:bCs/>
          <w:sz w:val="24"/>
          <w:szCs w:val="24"/>
        </w:rPr>
      </w:pPr>
      <w:r w:rsidRPr="003D7EBC">
        <w:rPr>
          <w:b/>
          <w:bCs/>
          <w:sz w:val="24"/>
          <w:szCs w:val="24"/>
        </w:rPr>
        <w:t>P</w:t>
      </w:r>
      <w:r w:rsidR="00E248C2" w:rsidRPr="003D7EBC">
        <w:rPr>
          <w:b/>
          <w:bCs/>
          <w:sz w:val="24"/>
          <w:szCs w:val="24"/>
        </w:rPr>
        <w:t>re-hospital transfusion</w:t>
      </w:r>
      <w:r w:rsidR="00F53A17" w:rsidRPr="003D7EBC">
        <w:rPr>
          <w:b/>
          <w:bCs/>
          <w:sz w:val="24"/>
          <w:szCs w:val="24"/>
        </w:rPr>
        <w:t xml:space="preserve"> and transfers</w:t>
      </w:r>
      <w:r w:rsidR="00E248C2" w:rsidRPr="003D7EBC">
        <w:rPr>
          <w:b/>
          <w:bCs/>
          <w:sz w:val="24"/>
          <w:szCs w:val="24"/>
        </w:rPr>
        <w:t xml:space="preserve">. </w:t>
      </w:r>
    </w:p>
    <w:p w14:paraId="673F0E61" w14:textId="1B073AAD" w:rsidR="00E17642" w:rsidRPr="003D7EBC" w:rsidRDefault="00823A60" w:rsidP="00772562">
      <w:pPr>
        <w:tabs>
          <w:tab w:val="left" w:pos="7560"/>
        </w:tabs>
        <w:spacing w:line="480" w:lineRule="auto"/>
        <w:rPr>
          <w:sz w:val="24"/>
          <w:szCs w:val="24"/>
        </w:rPr>
      </w:pPr>
      <w:r w:rsidRPr="003D7EBC">
        <w:rPr>
          <w:i/>
          <w:iCs/>
          <w:sz w:val="24"/>
          <w:szCs w:val="24"/>
        </w:rPr>
        <w:t>Blood group selection</w:t>
      </w:r>
      <w:r w:rsidRPr="003D7EBC">
        <w:rPr>
          <w:sz w:val="24"/>
          <w:szCs w:val="24"/>
        </w:rPr>
        <w:t xml:space="preserve">. </w:t>
      </w:r>
      <w:r w:rsidR="00F464D4" w:rsidRPr="003D7EBC">
        <w:rPr>
          <w:sz w:val="24"/>
          <w:szCs w:val="24"/>
        </w:rPr>
        <w:t xml:space="preserve">At the time of writing, </w:t>
      </w:r>
      <w:r w:rsidR="00A976A6" w:rsidRPr="003D7EBC">
        <w:rPr>
          <w:sz w:val="24"/>
          <w:szCs w:val="24"/>
        </w:rPr>
        <w:t xml:space="preserve">the majority of </w:t>
      </w:r>
      <w:r w:rsidR="00F464D4" w:rsidRPr="003D7EBC">
        <w:rPr>
          <w:sz w:val="24"/>
          <w:szCs w:val="24"/>
        </w:rPr>
        <w:t xml:space="preserve">UK </w:t>
      </w:r>
      <w:r w:rsidR="00862FD8" w:rsidRPr="003D7EBC">
        <w:rPr>
          <w:sz w:val="24"/>
          <w:szCs w:val="24"/>
        </w:rPr>
        <w:t xml:space="preserve">pre-hospital services </w:t>
      </w:r>
      <w:r w:rsidR="00F464D4" w:rsidRPr="003D7EBC">
        <w:rPr>
          <w:sz w:val="24"/>
          <w:szCs w:val="24"/>
        </w:rPr>
        <w:t xml:space="preserve">are using </w:t>
      </w:r>
      <w:r w:rsidR="00EE51F6" w:rsidRPr="003D7EBC">
        <w:rPr>
          <w:sz w:val="24"/>
          <w:szCs w:val="24"/>
        </w:rPr>
        <w:t xml:space="preserve">group </w:t>
      </w:r>
      <w:r w:rsidR="00F464D4" w:rsidRPr="003D7EBC">
        <w:rPr>
          <w:sz w:val="24"/>
          <w:szCs w:val="24"/>
        </w:rPr>
        <w:t>O RhD</w:t>
      </w:r>
      <w:r w:rsidR="00D958E0">
        <w:rPr>
          <w:sz w:val="24"/>
          <w:szCs w:val="24"/>
        </w:rPr>
        <w:t xml:space="preserve"> </w:t>
      </w:r>
      <w:r w:rsidR="00F464D4" w:rsidRPr="003D7EBC">
        <w:rPr>
          <w:sz w:val="24"/>
          <w:szCs w:val="24"/>
        </w:rPr>
        <w:t xml:space="preserve">negative </w:t>
      </w:r>
      <w:r w:rsidR="004770D2" w:rsidRPr="003D7EBC">
        <w:rPr>
          <w:sz w:val="24"/>
          <w:szCs w:val="24"/>
        </w:rPr>
        <w:t>RBC,</w:t>
      </w:r>
      <w:r w:rsidR="00EE51F6" w:rsidRPr="003D7EBC">
        <w:rPr>
          <w:sz w:val="24"/>
          <w:szCs w:val="24"/>
        </w:rPr>
        <w:t xml:space="preserve"> </w:t>
      </w:r>
      <w:r w:rsidR="008D31D4" w:rsidRPr="003D7EBC">
        <w:rPr>
          <w:sz w:val="24"/>
          <w:szCs w:val="24"/>
        </w:rPr>
        <w:t xml:space="preserve">although </w:t>
      </w:r>
      <w:r w:rsidR="00EE51F6" w:rsidRPr="003D7EBC">
        <w:rPr>
          <w:sz w:val="24"/>
          <w:szCs w:val="24"/>
        </w:rPr>
        <w:t xml:space="preserve">in </w:t>
      </w:r>
      <w:r w:rsidR="00862FD8" w:rsidRPr="003D7EBC">
        <w:rPr>
          <w:sz w:val="24"/>
          <w:szCs w:val="24"/>
        </w:rPr>
        <w:t xml:space="preserve">other </w:t>
      </w:r>
      <w:r w:rsidR="00EE51F6" w:rsidRPr="003D7EBC">
        <w:rPr>
          <w:sz w:val="24"/>
          <w:szCs w:val="24"/>
        </w:rPr>
        <w:t>countries group O RhD</w:t>
      </w:r>
      <w:r w:rsidR="009966AC" w:rsidRPr="003D7EBC">
        <w:rPr>
          <w:sz w:val="24"/>
          <w:szCs w:val="24"/>
        </w:rPr>
        <w:t xml:space="preserve"> </w:t>
      </w:r>
      <w:r w:rsidR="00EE51F6" w:rsidRPr="003D7EBC">
        <w:rPr>
          <w:sz w:val="24"/>
          <w:szCs w:val="24"/>
        </w:rPr>
        <w:t xml:space="preserve">positive </w:t>
      </w:r>
      <w:r w:rsidR="004770D2" w:rsidRPr="003D7EBC">
        <w:rPr>
          <w:sz w:val="24"/>
          <w:szCs w:val="24"/>
        </w:rPr>
        <w:t xml:space="preserve">RBC </w:t>
      </w:r>
      <w:r w:rsidR="00EE51F6" w:rsidRPr="003D7EBC">
        <w:rPr>
          <w:sz w:val="24"/>
          <w:szCs w:val="24"/>
        </w:rPr>
        <w:t xml:space="preserve">units </w:t>
      </w:r>
      <w:r w:rsidR="00FE4B3B" w:rsidRPr="003D7EBC">
        <w:rPr>
          <w:sz w:val="24"/>
          <w:szCs w:val="24"/>
        </w:rPr>
        <w:t xml:space="preserve">may be </w:t>
      </w:r>
      <w:r w:rsidR="00EE51F6" w:rsidRPr="003D7EBC">
        <w:rPr>
          <w:sz w:val="24"/>
          <w:szCs w:val="24"/>
        </w:rPr>
        <w:t xml:space="preserve">used as the universal component </w:t>
      </w:r>
      <w:r w:rsidR="00862FD8" w:rsidRPr="003D7EBC">
        <w:rPr>
          <w:sz w:val="24"/>
          <w:szCs w:val="24"/>
        </w:rPr>
        <w:t>to support the pre-hospital services</w:t>
      </w:r>
      <w:r w:rsidR="004770D2" w:rsidRPr="003D7EBC">
        <w:rPr>
          <w:sz w:val="24"/>
          <w:szCs w:val="24"/>
        </w:rPr>
        <w:t>,</w:t>
      </w:r>
      <w:r w:rsidR="00862FD8" w:rsidRPr="003D7EBC">
        <w:rPr>
          <w:sz w:val="24"/>
          <w:szCs w:val="24"/>
        </w:rPr>
        <w:t xml:space="preserve"> </w:t>
      </w:r>
      <w:r w:rsidR="00EE51F6" w:rsidRPr="003D7EBC">
        <w:rPr>
          <w:sz w:val="24"/>
          <w:szCs w:val="24"/>
        </w:rPr>
        <w:t>due to the low prevalence of group O RhD</w:t>
      </w:r>
      <w:r w:rsidR="00D958E0">
        <w:rPr>
          <w:sz w:val="24"/>
          <w:szCs w:val="24"/>
        </w:rPr>
        <w:t xml:space="preserve"> </w:t>
      </w:r>
      <w:r w:rsidR="00EE51F6" w:rsidRPr="003D7EBC">
        <w:rPr>
          <w:sz w:val="24"/>
          <w:szCs w:val="24"/>
        </w:rPr>
        <w:t>negative donors.</w:t>
      </w:r>
      <w:r w:rsidR="002A330F">
        <w:rPr>
          <w:sz w:val="24"/>
          <w:szCs w:val="24"/>
          <w:vertAlign w:val="superscript"/>
        </w:rPr>
        <w:t>19,20</w:t>
      </w:r>
      <w:r w:rsidR="00935D26">
        <w:rPr>
          <w:sz w:val="24"/>
          <w:szCs w:val="24"/>
          <w:vertAlign w:val="superscript"/>
        </w:rPr>
        <w:t>,21</w:t>
      </w:r>
      <w:r w:rsidR="00EE51F6" w:rsidRPr="003D7EBC">
        <w:rPr>
          <w:sz w:val="24"/>
          <w:szCs w:val="24"/>
        </w:rPr>
        <w:t xml:space="preserve"> </w:t>
      </w:r>
      <w:r w:rsidR="00FE4B3B" w:rsidRPr="003D7EBC">
        <w:rPr>
          <w:sz w:val="24"/>
          <w:szCs w:val="24"/>
        </w:rPr>
        <w:t xml:space="preserve">An </w:t>
      </w:r>
      <w:r w:rsidR="00EE51F6" w:rsidRPr="003D7EBC">
        <w:rPr>
          <w:sz w:val="24"/>
          <w:szCs w:val="24"/>
        </w:rPr>
        <w:t xml:space="preserve">increase in the use of pre-hospital blood transfusion in the UK is </w:t>
      </w:r>
      <w:r w:rsidR="004770D2" w:rsidRPr="003D7EBC">
        <w:rPr>
          <w:sz w:val="24"/>
          <w:szCs w:val="24"/>
        </w:rPr>
        <w:t xml:space="preserve">likely to </w:t>
      </w:r>
      <w:r w:rsidR="00FE4B3B" w:rsidRPr="003D7EBC">
        <w:rPr>
          <w:sz w:val="24"/>
          <w:szCs w:val="24"/>
        </w:rPr>
        <w:t xml:space="preserve">further </w:t>
      </w:r>
      <w:r w:rsidR="00CC1FD5" w:rsidRPr="003D7EBC">
        <w:rPr>
          <w:sz w:val="24"/>
          <w:szCs w:val="24"/>
        </w:rPr>
        <w:t>impact the limited</w:t>
      </w:r>
      <w:r w:rsidR="00FE4B3B" w:rsidRPr="003D7EBC">
        <w:rPr>
          <w:sz w:val="24"/>
          <w:szCs w:val="24"/>
        </w:rPr>
        <w:t xml:space="preserve"> </w:t>
      </w:r>
      <w:r w:rsidR="00862FD8" w:rsidRPr="003D7EBC">
        <w:rPr>
          <w:sz w:val="24"/>
          <w:szCs w:val="24"/>
        </w:rPr>
        <w:t xml:space="preserve">supply </w:t>
      </w:r>
      <w:r w:rsidR="00EE51F6" w:rsidRPr="003D7EBC">
        <w:rPr>
          <w:sz w:val="24"/>
          <w:szCs w:val="24"/>
        </w:rPr>
        <w:t>of group O RhD</w:t>
      </w:r>
      <w:r w:rsidR="00D958E0">
        <w:rPr>
          <w:sz w:val="24"/>
          <w:szCs w:val="24"/>
        </w:rPr>
        <w:t xml:space="preserve"> </w:t>
      </w:r>
      <w:r w:rsidR="00EE51F6" w:rsidRPr="003D7EBC">
        <w:rPr>
          <w:sz w:val="24"/>
          <w:szCs w:val="24"/>
        </w:rPr>
        <w:t xml:space="preserve">negative </w:t>
      </w:r>
      <w:r w:rsidR="004770D2" w:rsidRPr="003D7EBC">
        <w:rPr>
          <w:sz w:val="24"/>
          <w:szCs w:val="24"/>
        </w:rPr>
        <w:t>RBC</w:t>
      </w:r>
      <w:r w:rsidR="00862FD8" w:rsidRPr="003D7EBC">
        <w:rPr>
          <w:sz w:val="24"/>
          <w:szCs w:val="24"/>
        </w:rPr>
        <w:t xml:space="preserve">, and </w:t>
      </w:r>
      <w:r w:rsidR="00EE51F6" w:rsidRPr="003D7EBC">
        <w:rPr>
          <w:sz w:val="24"/>
          <w:szCs w:val="24"/>
        </w:rPr>
        <w:t>the UK blood service</w:t>
      </w:r>
      <w:r w:rsidR="00B41A2B" w:rsidRPr="003D7EBC">
        <w:rPr>
          <w:sz w:val="24"/>
          <w:szCs w:val="24"/>
        </w:rPr>
        <w:t>s and some hospitals</w:t>
      </w:r>
      <w:r w:rsidR="00EE51F6" w:rsidRPr="003D7EBC">
        <w:rPr>
          <w:sz w:val="24"/>
          <w:szCs w:val="24"/>
        </w:rPr>
        <w:t xml:space="preserve"> are risk-assessing </w:t>
      </w:r>
      <w:r w:rsidR="00862FD8" w:rsidRPr="003D7EBC">
        <w:rPr>
          <w:sz w:val="24"/>
          <w:szCs w:val="24"/>
        </w:rPr>
        <w:t>this practice</w:t>
      </w:r>
      <w:r w:rsidR="003D7EBC" w:rsidRPr="009A4E93">
        <w:rPr>
          <w:sz w:val="24"/>
          <w:szCs w:val="24"/>
        </w:rPr>
        <w:t xml:space="preserve"> and considering the use of O RhD positive blood</w:t>
      </w:r>
      <w:r w:rsidR="00862FD8" w:rsidRPr="003D7EBC">
        <w:rPr>
          <w:sz w:val="24"/>
          <w:szCs w:val="24"/>
        </w:rPr>
        <w:t xml:space="preserve">. </w:t>
      </w:r>
      <w:r w:rsidR="00F16615" w:rsidRPr="003D7EBC">
        <w:rPr>
          <w:sz w:val="24"/>
          <w:szCs w:val="24"/>
        </w:rPr>
        <w:t xml:space="preserve">We </w:t>
      </w:r>
      <w:r w:rsidR="003861EE" w:rsidRPr="0041287C">
        <w:rPr>
          <w:sz w:val="24"/>
          <w:szCs w:val="24"/>
        </w:rPr>
        <w:t>recommend that pre-transfusion</w:t>
      </w:r>
      <w:r w:rsidR="00C43206" w:rsidRPr="003D7EBC">
        <w:rPr>
          <w:sz w:val="24"/>
          <w:szCs w:val="24"/>
        </w:rPr>
        <w:t xml:space="preserve"> group and screen</w:t>
      </w:r>
      <w:r w:rsidR="003861EE" w:rsidRPr="003D7EBC">
        <w:rPr>
          <w:sz w:val="24"/>
          <w:szCs w:val="24"/>
        </w:rPr>
        <w:t xml:space="preserve"> samples are collected pre-hospital</w:t>
      </w:r>
      <w:r w:rsidR="00E8026E" w:rsidRPr="003D7EBC">
        <w:rPr>
          <w:sz w:val="24"/>
          <w:szCs w:val="24"/>
        </w:rPr>
        <w:t xml:space="preserve"> prior to transfusion</w:t>
      </w:r>
      <w:r w:rsidR="003861EE" w:rsidRPr="003D7EBC">
        <w:rPr>
          <w:sz w:val="24"/>
          <w:szCs w:val="24"/>
        </w:rPr>
        <w:t xml:space="preserve">, </w:t>
      </w:r>
      <w:r w:rsidR="00E8026E" w:rsidRPr="003D7EBC">
        <w:rPr>
          <w:sz w:val="24"/>
          <w:szCs w:val="24"/>
        </w:rPr>
        <w:t xml:space="preserve">although this may often </w:t>
      </w:r>
      <w:r w:rsidR="00F16615" w:rsidRPr="003D7EBC">
        <w:rPr>
          <w:sz w:val="24"/>
          <w:szCs w:val="24"/>
        </w:rPr>
        <w:t>be challenging</w:t>
      </w:r>
      <w:r w:rsidR="00E8026E" w:rsidRPr="003D7EBC">
        <w:rPr>
          <w:sz w:val="24"/>
          <w:szCs w:val="24"/>
        </w:rPr>
        <w:t xml:space="preserve">. </w:t>
      </w:r>
      <w:r w:rsidR="00535855" w:rsidRPr="003D7EBC">
        <w:rPr>
          <w:sz w:val="24"/>
          <w:szCs w:val="24"/>
        </w:rPr>
        <w:t xml:space="preserve">When a pre-transfusion sample cannot be obtained the hospital should have a clear policy to cover subsequent blood grouping anomalies (mixed field reaction). </w:t>
      </w:r>
    </w:p>
    <w:p w14:paraId="51D4E7D9" w14:textId="7F62AD4D" w:rsidR="00EB49F1" w:rsidRDefault="00D5425F" w:rsidP="00E16E87">
      <w:pPr>
        <w:spacing w:line="480" w:lineRule="auto"/>
        <w:rPr>
          <w:sz w:val="24"/>
          <w:szCs w:val="24"/>
        </w:rPr>
      </w:pPr>
      <w:r w:rsidRPr="003D7EBC">
        <w:rPr>
          <w:i/>
          <w:iCs/>
          <w:sz w:val="24"/>
          <w:szCs w:val="24"/>
        </w:rPr>
        <w:t>Governance.</w:t>
      </w:r>
      <w:r w:rsidRPr="003D7EBC">
        <w:rPr>
          <w:sz w:val="24"/>
          <w:szCs w:val="24"/>
        </w:rPr>
        <w:t xml:space="preserve"> </w:t>
      </w:r>
      <w:r w:rsidR="009E3360" w:rsidRPr="003D7EBC">
        <w:rPr>
          <w:sz w:val="24"/>
          <w:szCs w:val="24"/>
        </w:rPr>
        <w:t>Pre-hospital services require a robust governance framework</w:t>
      </w:r>
      <w:r w:rsidR="00CE46CE" w:rsidRPr="003D7EBC">
        <w:rPr>
          <w:sz w:val="24"/>
          <w:szCs w:val="24"/>
        </w:rPr>
        <w:t xml:space="preserve"> in place to ensure </w:t>
      </w:r>
      <w:r w:rsidR="007E0230" w:rsidRPr="003D7EBC">
        <w:rPr>
          <w:sz w:val="24"/>
          <w:szCs w:val="24"/>
        </w:rPr>
        <w:t xml:space="preserve">full traceability of </w:t>
      </w:r>
      <w:r w:rsidR="00CE46CE" w:rsidRPr="003D7EBC">
        <w:rPr>
          <w:sz w:val="24"/>
          <w:szCs w:val="24"/>
        </w:rPr>
        <w:t xml:space="preserve">and </w:t>
      </w:r>
      <w:r w:rsidR="00F74C95" w:rsidRPr="003D7EBC">
        <w:rPr>
          <w:sz w:val="24"/>
          <w:szCs w:val="24"/>
        </w:rPr>
        <w:t>confirm</w:t>
      </w:r>
      <w:r w:rsidR="00C43206" w:rsidRPr="003D7EBC">
        <w:rPr>
          <w:sz w:val="24"/>
          <w:szCs w:val="24"/>
        </w:rPr>
        <w:t>ation of</w:t>
      </w:r>
      <w:r w:rsidR="00F74C95" w:rsidRPr="003D7EBC">
        <w:rPr>
          <w:sz w:val="24"/>
          <w:szCs w:val="24"/>
        </w:rPr>
        <w:t xml:space="preserve"> the cold </w:t>
      </w:r>
      <w:r w:rsidR="006854AA" w:rsidRPr="003D7EBC">
        <w:rPr>
          <w:sz w:val="24"/>
          <w:szCs w:val="24"/>
        </w:rPr>
        <w:t>chain and</w:t>
      </w:r>
      <w:r w:rsidR="00CC1856" w:rsidRPr="003D7EBC">
        <w:rPr>
          <w:sz w:val="24"/>
          <w:szCs w:val="24"/>
        </w:rPr>
        <w:t xml:space="preserve"> m</w:t>
      </w:r>
      <w:r w:rsidR="0079421A" w:rsidRPr="003D7EBC">
        <w:rPr>
          <w:sz w:val="24"/>
          <w:szCs w:val="24"/>
        </w:rPr>
        <w:t>onitoring</w:t>
      </w:r>
      <w:r w:rsidR="004770D2" w:rsidRPr="003D7EBC">
        <w:rPr>
          <w:sz w:val="24"/>
          <w:szCs w:val="24"/>
        </w:rPr>
        <w:t xml:space="preserve"> </w:t>
      </w:r>
      <w:r w:rsidR="00F74C95" w:rsidRPr="003D7EBC">
        <w:rPr>
          <w:sz w:val="24"/>
          <w:szCs w:val="24"/>
        </w:rPr>
        <w:t xml:space="preserve">of </w:t>
      </w:r>
      <w:r w:rsidR="004E1AF4" w:rsidRPr="003D7EBC">
        <w:rPr>
          <w:sz w:val="24"/>
          <w:szCs w:val="24"/>
        </w:rPr>
        <w:t>either individual components or their container</w:t>
      </w:r>
      <w:r w:rsidR="00F74C95" w:rsidRPr="003D7EBC">
        <w:rPr>
          <w:sz w:val="24"/>
          <w:szCs w:val="24"/>
        </w:rPr>
        <w:t>.</w:t>
      </w:r>
      <w:r w:rsidR="00371A11">
        <w:rPr>
          <w:sz w:val="24"/>
          <w:szCs w:val="24"/>
          <w:vertAlign w:val="superscript"/>
        </w:rPr>
        <w:t>1</w:t>
      </w:r>
      <w:r w:rsidR="002A330F">
        <w:rPr>
          <w:sz w:val="24"/>
          <w:szCs w:val="24"/>
          <w:vertAlign w:val="superscript"/>
        </w:rPr>
        <w:t>5</w:t>
      </w:r>
      <w:r w:rsidR="004E1AF4" w:rsidRPr="003D7EBC">
        <w:rPr>
          <w:sz w:val="24"/>
          <w:szCs w:val="24"/>
        </w:rPr>
        <w:t xml:space="preserve"> Most modern thermal solutions are based on </w:t>
      </w:r>
      <w:r w:rsidR="004E1AF4" w:rsidRPr="003D7EBC">
        <w:rPr>
          <w:sz w:val="24"/>
          <w:szCs w:val="24"/>
          <w:shd w:val="clear" w:color="auto" w:fill="FFFFFF"/>
        </w:rPr>
        <w:t>Phase Change Material for specific temperature ranges that ensure consistent temperature performance for up to a specified period.</w:t>
      </w:r>
      <w:r w:rsidR="004E1AF4" w:rsidRPr="003D7EBC">
        <w:rPr>
          <w:sz w:val="20"/>
          <w:szCs w:val="20"/>
          <w:shd w:val="clear" w:color="auto" w:fill="FFFFFF"/>
        </w:rPr>
        <w:t> </w:t>
      </w:r>
      <w:r w:rsidR="004E1AF4" w:rsidRPr="003D7EBC">
        <w:rPr>
          <w:sz w:val="24"/>
          <w:szCs w:val="24"/>
        </w:rPr>
        <w:t>These</w:t>
      </w:r>
      <w:r w:rsidR="00F74C95" w:rsidRPr="003D7EBC">
        <w:rPr>
          <w:sz w:val="24"/>
          <w:szCs w:val="24"/>
        </w:rPr>
        <w:t xml:space="preserve"> should be </w:t>
      </w:r>
      <w:r w:rsidR="00216A9F" w:rsidRPr="003D7EBC">
        <w:rPr>
          <w:sz w:val="24"/>
          <w:szCs w:val="24"/>
        </w:rPr>
        <w:t xml:space="preserve">validated </w:t>
      </w:r>
      <w:r w:rsidR="00535855" w:rsidRPr="003D7EBC">
        <w:rPr>
          <w:sz w:val="24"/>
          <w:szCs w:val="24"/>
        </w:rPr>
        <w:t xml:space="preserve">for initial use </w:t>
      </w:r>
      <w:r w:rsidR="00216A9F" w:rsidRPr="003D7EBC">
        <w:rPr>
          <w:sz w:val="24"/>
          <w:szCs w:val="24"/>
        </w:rPr>
        <w:t xml:space="preserve">and </w:t>
      </w:r>
      <w:r w:rsidR="00535855" w:rsidRPr="003D7EBC">
        <w:rPr>
          <w:sz w:val="24"/>
          <w:szCs w:val="24"/>
        </w:rPr>
        <w:t xml:space="preserve">periodically </w:t>
      </w:r>
      <w:r w:rsidR="00F74C95" w:rsidRPr="003D7EBC">
        <w:rPr>
          <w:sz w:val="24"/>
          <w:szCs w:val="24"/>
        </w:rPr>
        <w:t>re-validated</w:t>
      </w:r>
      <w:r w:rsidR="00535855" w:rsidRPr="003D7EBC">
        <w:rPr>
          <w:sz w:val="24"/>
          <w:szCs w:val="24"/>
        </w:rPr>
        <w:t xml:space="preserve"> for ongoing performance verification</w:t>
      </w:r>
      <w:r w:rsidR="00F74C95" w:rsidRPr="003D7EBC">
        <w:rPr>
          <w:sz w:val="24"/>
          <w:szCs w:val="24"/>
        </w:rPr>
        <w:t xml:space="preserve"> </w:t>
      </w:r>
      <w:r w:rsidR="004E1AF4" w:rsidRPr="003D7EBC">
        <w:rPr>
          <w:sz w:val="24"/>
          <w:szCs w:val="24"/>
        </w:rPr>
        <w:t xml:space="preserve">as per </w:t>
      </w:r>
      <w:r w:rsidR="00216A9F" w:rsidRPr="003D7EBC">
        <w:rPr>
          <w:sz w:val="24"/>
          <w:szCs w:val="24"/>
        </w:rPr>
        <w:t xml:space="preserve">best practice and </w:t>
      </w:r>
      <w:r w:rsidR="004E1AF4" w:rsidRPr="003D7EBC">
        <w:rPr>
          <w:sz w:val="24"/>
          <w:szCs w:val="24"/>
        </w:rPr>
        <w:t xml:space="preserve">manufacturer’s </w:t>
      </w:r>
      <w:r w:rsidR="00533C54" w:rsidRPr="003D7EBC">
        <w:rPr>
          <w:sz w:val="24"/>
          <w:szCs w:val="24"/>
        </w:rPr>
        <w:t>recommendation</w:t>
      </w:r>
      <w:r w:rsidR="00535855" w:rsidRPr="003D7EBC">
        <w:rPr>
          <w:sz w:val="24"/>
          <w:szCs w:val="24"/>
        </w:rPr>
        <w:t>s</w:t>
      </w:r>
      <w:r w:rsidR="00533C54" w:rsidRPr="003D7EBC">
        <w:rPr>
          <w:sz w:val="24"/>
          <w:szCs w:val="24"/>
        </w:rPr>
        <w:t>.</w:t>
      </w:r>
      <w:r w:rsidR="00F74C95" w:rsidRPr="003D7EBC">
        <w:rPr>
          <w:sz w:val="24"/>
          <w:szCs w:val="24"/>
        </w:rPr>
        <w:t xml:space="preserve"> </w:t>
      </w:r>
      <w:r w:rsidR="00CE46CE" w:rsidRPr="003D7EBC">
        <w:rPr>
          <w:sz w:val="24"/>
          <w:szCs w:val="24"/>
        </w:rPr>
        <w:t>T</w:t>
      </w:r>
      <w:r w:rsidR="00F74C95" w:rsidRPr="003D7EBC">
        <w:rPr>
          <w:sz w:val="24"/>
          <w:szCs w:val="24"/>
        </w:rPr>
        <w:t>emperature logging devices enabl</w:t>
      </w:r>
      <w:r w:rsidR="00E00A31" w:rsidRPr="003D7EBC">
        <w:rPr>
          <w:sz w:val="24"/>
          <w:szCs w:val="24"/>
        </w:rPr>
        <w:t>e cold chain</w:t>
      </w:r>
      <w:r w:rsidR="00F74C95" w:rsidRPr="003D7EBC">
        <w:rPr>
          <w:sz w:val="24"/>
          <w:szCs w:val="24"/>
        </w:rPr>
        <w:t xml:space="preserve"> confidence </w:t>
      </w:r>
      <w:r w:rsidR="00216A9F" w:rsidRPr="003D7EBC">
        <w:rPr>
          <w:sz w:val="24"/>
          <w:szCs w:val="24"/>
        </w:rPr>
        <w:t>and</w:t>
      </w:r>
      <w:r w:rsidR="00CE46CE" w:rsidRPr="003D7EBC">
        <w:rPr>
          <w:sz w:val="24"/>
          <w:szCs w:val="24"/>
        </w:rPr>
        <w:t xml:space="preserve"> </w:t>
      </w:r>
      <w:r w:rsidR="00F74C95" w:rsidRPr="003D7EBC">
        <w:rPr>
          <w:sz w:val="24"/>
          <w:szCs w:val="24"/>
        </w:rPr>
        <w:t>reduc</w:t>
      </w:r>
      <w:r w:rsidR="00CE46CE" w:rsidRPr="003D7EBC">
        <w:rPr>
          <w:sz w:val="24"/>
          <w:szCs w:val="24"/>
        </w:rPr>
        <w:t>e</w:t>
      </w:r>
      <w:r w:rsidR="00F74C95" w:rsidRPr="003D7EBC">
        <w:rPr>
          <w:sz w:val="24"/>
          <w:szCs w:val="24"/>
        </w:rPr>
        <w:t xml:space="preserve"> potential wastage of </w:t>
      </w:r>
      <w:r w:rsidR="00F74C95" w:rsidRPr="003D7EBC">
        <w:rPr>
          <w:sz w:val="24"/>
          <w:szCs w:val="24"/>
        </w:rPr>
        <w:lastRenderedPageBreak/>
        <w:t>components.</w:t>
      </w:r>
      <w:r w:rsidR="004770D2" w:rsidRPr="003D7EBC">
        <w:rPr>
          <w:sz w:val="24"/>
          <w:szCs w:val="24"/>
        </w:rPr>
        <w:t xml:space="preserve"> </w:t>
      </w:r>
      <w:r w:rsidR="00821E1D" w:rsidRPr="003D7EBC">
        <w:rPr>
          <w:sz w:val="24"/>
          <w:szCs w:val="24"/>
        </w:rPr>
        <w:t xml:space="preserve">Pre-hospital services may also require rapid dispatch of </w:t>
      </w:r>
      <w:r w:rsidR="00792626" w:rsidRPr="003D7EBC">
        <w:rPr>
          <w:sz w:val="24"/>
          <w:szCs w:val="24"/>
        </w:rPr>
        <w:t xml:space="preserve">blood products </w:t>
      </w:r>
      <w:r w:rsidR="00821E1D" w:rsidRPr="003D7EBC">
        <w:rPr>
          <w:sz w:val="24"/>
          <w:szCs w:val="24"/>
        </w:rPr>
        <w:t xml:space="preserve">such as </w:t>
      </w:r>
      <w:r w:rsidR="004770D2" w:rsidRPr="003D7EBC">
        <w:rPr>
          <w:sz w:val="24"/>
          <w:szCs w:val="24"/>
        </w:rPr>
        <w:t>prothrombin complex concentrate</w:t>
      </w:r>
      <w:r w:rsidR="00F16615" w:rsidRPr="003D7EBC">
        <w:rPr>
          <w:sz w:val="24"/>
          <w:szCs w:val="24"/>
        </w:rPr>
        <w:t>,</w:t>
      </w:r>
      <w:r w:rsidR="00821E1D" w:rsidRPr="003D7EBC">
        <w:rPr>
          <w:sz w:val="24"/>
          <w:szCs w:val="24"/>
        </w:rPr>
        <w:t xml:space="preserve"> as part of their </w:t>
      </w:r>
      <w:r w:rsidR="00E00A31" w:rsidRPr="003D7EBC">
        <w:rPr>
          <w:sz w:val="24"/>
          <w:szCs w:val="24"/>
        </w:rPr>
        <w:t xml:space="preserve">pre-agreed </w:t>
      </w:r>
      <w:r w:rsidR="00821E1D" w:rsidRPr="003D7EBC">
        <w:rPr>
          <w:sz w:val="24"/>
          <w:szCs w:val="24"/>
        </w:rPr>
        <w:t>care bundle</w:t>
      </w:r>
      <w:r w:rsidR="00E00A31" w:rsidRPr="003D7EBC">
        <w:rPr>
          <w:sz w:val="24"/>
          <w:szCs w:val="24"/>
        </w:rPr>
        <w:t>.</w:t>
      </w:r>
      <w:r w:rsidR="00821E1D" w:rsidRPr="003D7EBC">
        <w:rPr>
          <w:sz w:val="24"/>
          <w:szCs w:val="24"/>
        </w:rPr>
        <w:t xml:space="preserve"> </w:t>
      </w:r>
      <w:r w:rsidR="00E00A31" w:rsidRPr="003D7EBC">
        <w:rPr>
          <w:i/>
          <w:iCs/>
          <w:sz w:val="24"/>
          <w:szCs w:val="24"/>
        </w:rPr>
        <w:t>Hospital transfers</w:t>
      </w:r>
      <w:r w:rsidR="00F274E9" w:rsidRPr="003D7EBC">
        <w:rPr>
          <w:i/>
          <w:iCs/>
          <w:sz w:val="24"/>
          <w:szCs w:val="24"/>
        </w:rPr>
        <w:t>.</w:t>
      </w:r>
      <w:r w:rsidR="00AA02DE" w:rsidRPr="003D7EBC">
        <w:rPr>
          <w:b/>
          <w:bCs/>
          <w:sz w:val="24"/>
          <w:szCs w:val="24"/>
        </w:rPr>
        <w:t xml:space="preserve"> </w:t>
      </w:r>
      <w:r w:rsidR="00533C54" w:rsidRPr="003D7EBC">
        <w:rPr>
          <w:sz w:val="24"/>
          <w:szCs w:val="24"/>
        </w:rPr>
        <w:t>Blood</w:t>
      </w:r>
      <w:r w:rsidR="00AA02DE" w:rsidRPr="003D7EBC">
        <w:rPr>
          <w:sz w:val="24"/>
          <w:szCs w:val="24"/>
        </w:rPr>
        <w:t xml:space="preserve"> components may be transferred with patients at high risk of requiring transfusion en-route</w:t>
      </w:r>
      <w:r w:rsidR="00E00A31" w:rsidRPr="003D7EBC">
        <w:rPr>
          <w:sz w:val="24"/>
          <w:szCs w:val="24"/>
        </w:rPr>
        <w:t xml:space="preserve"> during </w:t>
      </w:r>
      <w:r w:rsidR="00E851E0" w:rsidRPr="003D7EBC">
        <w:rPr>
          <w:sz w:val="24"/>
          <w:szCs w:val="24"/>
        </w:rPr>
        <w:t>transfer from one hospital to another for immediate specialist care.</w:t>
      </w:r>
      <w:r w:rsidR="00AA02DE" w:rsidRPr="003D7EBC">
        <w:rPr>
          <w:sz w:val="24"/>
          <w:szCs w:val="24"/>
        </w:rPr>
        <w:t xml:space="preserve"> </w:t>
      </w:r>
      <w:r w:rsidR="00E851E0" w:rsidRPr="003D7EBC">
        <w:rPr>
          <w:sz w:val="24"/>
          <w:szCs w:val="24"/>
        </w:rPr>
        <w:t>There is limited published experience of transfer practices for blood</w:t>
      </w:r>
      <w:r w:rsidR="008738C6" w:rsidRPr="003D7EBC">
        <w:rPr>
          <w:sz w:val="24"/>
          <w:szCs w:val="24"/>
        </w:rPr>
        <w:t>,</w:t>
      </w:r>
      <w:r w:rsidR="002A330F">
        <w:rPr>
          <w:sz w:val="24"/>
          <w:szCs w:val="24"/>
          <w:vertAlign w:val="superscript"/>
        </w:rPr>
        <w:t>2</w:t>
      </w:r>
      <w:r w:rsidR="00935D26">
        <w:rPr>
          <w:sz w:val="24"/>
          <w:szCs w:val="24"/>
          <w:vertAlign w:val="superscript"/>
        </w:rPr>
        <w:t>2</w:t>
      </w:r>
      <w:r w:rsidR="009022F7" w:rsidRPr="003D7EBC">
        <w:rPr>
          <w:sz w:val="24"/>
          <w:szCs w:val="24"/>
        </w:rPr>
        <w:t xml:space="preserve"> but </w:t>
      </w:r>
      <w:r w:rsidR="00E851E0" w:rsidRPr="003D7EBC">
        <w:rPr>
          <w:sz w:val="24"/>
          <w:szCs w:val="24"/>
        </w:rPr>
        <w:t xml:space="preserve">wastage of blood </w:t>
      </w:r>
      <w:r w:rsidR="009022F7" w:rsidRPr="003D7EBC">
        <w:rPr>
          <w:sz w:val="24"/>
          <w:szCs w:val="24"/>
        </w:rPr>
        <w:t>appears</w:t>
      </w:r>
      <w:r w:rsidR="00E851E0" w:rsidRPr="003D7EBC">
        <w:rPr>
          <w:sz w:val="24"/>
          <w:szCs w:val="24"/>
        </w:rPr>
        <w:t xml:space="preserve"> significant. </w:t>
      </w:r>
      <w:r w:rsidR="00535855" w:rsidRPr="003D7EBC">
        <w:rPr>
          <w:sz w:val="24"/>
          <w:szCs w:val="24"/>
        </w:rPr>
        <w:t xml:space="preserve">Clinical teams must communicate effectively with the transfusion laboratory when the decision to transfer a patient with blood is confirmed.  </w:t>
      </w:r>
      <w:r w:rsidR="00EB49F1" w:rsidRPr="003D7EBC">
        <w:rPr>
          <w:sz w:val="24"/>
          <w:szCs w:val="24"/>
        </w:rPr>
        <w:t xml:space="preserve">The </w:t>
      </w:r>
      <w:r w:rsidR="008738C6" w:rsidRPr="003D7EBC">
        <w:rPr>
          <w:sz w:val="24"/>
          <w:szCs w:val="24"/>
        </w:rPr>
        <w:t xml:space="preserve">transfusion laboratory </w:t>
      </w:r>
      <w:r w:rsidR="00535855" w:rsidRPr="003D7EBC">
        <w:rPr>
          <w:sz w:val="24"/>
          <w:szCs w:val="24"/>
        </w:rPr>
        <w:t xml:space="preserve">from the referring hospital </w:t>
      </w:r>
      <w:r w:rsidR="00EB49F1" w:rsidRPr="003D7EBC">
        <w:rPr>
          <w:sz w:val="24"/>
          <w:szCs w:val="24"/>
        </w:rPr>
        <w:t xml:space="preserve">should coordinate the transfer and traceability of blood and ensure effective communication between laboratories. Blood should never be transferred without the knowledge of the </w:t>
      </w:r>
      <w:r w:rsidR="008738C6" w:rsidRPr="003D7EBC">
        <w:rPr>
          <w:sz w:val="24"/>
          <w:szCs w:val="24"/>
        </w:rPr>
        <w:t>transfusion laboratory</w:t>
      </w:r>
      <w:r w:rsidR="00EB49F1" w:rsidRPr="003D7EBC">
        <w:rPr>
          <w:sz w:val="24"/>
          <w:szCs w:val="24"/>
        </w:rPr>
        <w:t xml:space="preserve">. The </w:t>
      </w:r>
      <w:r w:rsidR="008738C6" w:rsidRPr="003D7EBC">
        <w:rPr>
          <w:sz w:val="24"/>
          <w:szCs w:val="24"/>
        </w:rPr>
        <w:t xml:space="preserve">transfusion laboratory </w:t>
      </w:r>
      <w:r w:rsidR="00EB49F1" w:rsidRPr="003D7EBC">
        <w:rPr>
          <w:sz w:val="24"/>
          <w:szCs w:val="24"/>
        </w:rPr>
        <w:t>must have a protocol in place to ensure the cold chain is maintained and evidenced during transport</w:t>
      </w:r>
      <w:r w:rsidR="00EF35C3" w:rsidRPr="003D7EBC">
        <w:rPr>
          <w:sz w:val="24"/>
          <w:szCs w:val="24"/>
        </w:rPr>
        <w:t>.</w:t>
      </w:r>
    </w:p>
    <w:p w14:paraId="7A95FC7D" w14:textId="10C61BEF" w:rsidR="00C96A9F" w:rsidRPr="00E16E87" w:rsidRDefault="00C96A9F" w:rsidP="00E16E87">
      <w:pPr>
        <w:spacing w:before="120" w:line="480" w:lineRule="auto"/>
        <w:outlineLvl w:val="0"/>
        <w:rPr>
          <w:b/>
          <w:bCs/>
          <w:sz w:val="24"/>
          <w:szCs w:val="24"/>
        </w:rPr>
      </w:pPr>
      <w:r w:rsidRPr="00E16E87">
        <w:rPr>
          <w:b/>
          <w:bCs/>
          <w:sz w:val="24"/>
          <w:szCs w:val="24"/>
        </w:rPr>
        <w:t>Mass Casualty Events</w:t>
      </w:r>
    </w:p>
    <w:p w14:paraId="5467E3B6" w14:textId="1EA2CD65" w:rsidR="00395DFE" w:rsidRPr="00F21BA2" w:rsidRDefault="00C96A9F" w:rsidP="00E16E87">
      <w:pPr>
        <w:spacing w:line="480" w:lineRule="auto"/>
        <w:jc w:val="both"/>
        <w:rPr>
          <w:sz w:val="24"/>
          <w:szCs w:val="24"/>
          <w:vertAlign w:val="superscript"/>
        </w:rPr>
      </w:pPr>
      <w:r w:rsidRPr="00E16E87">
        <w:rPr>
          <w:sz w:val="24"/>
          <w:szCs w:val="24"/>
        </w:rPr>
        <w:t>Hospital transfusion teams should engage with their Emergency Planning teams and be included in emergency communication cascades. This cascade should be tested periodically in an exercise format.</w:t>
      </w:r>
      <w:r w:rsidR="00F21BA2">
        <w:rPr>
          <w:sz w:val="24"/>
          <w:szCs w:val="24"/>
          <w:vertAlign w:val="superscript"/>
        </w:rPr>
        <w:t>2</w:t>
      </w:r>
      <w:r w:rsidR="00935D26">
        <w:rPr>
          <w:sz w:val="24"/>
          <w:szCs w:val="24"/>
          <w:vertAlign w:val="superscript"/>
        </w:rPr>
        <w:t>3</w:t>
      </w:r>
      <w:r w:rsidRPr="00E16E87">
        <w:rPr>
          <w:sz w:val="24"/>
          <w:szCs w:val="24"/>
        </w:rPr>
        <w:t xml:space="preserve"> Transfusion teams should be aware of their Trust’s pre-determined casualty load and their </w:t>
      </w:r>
      <w:r w:rsidR="00AC74F3">
        <w:rPr>
          <w:sz w:val="24"/>
          <w:szCs w:val="24"/>
        </w:rPr>
        <w:t>r</w:t>
      </w:r>
      <w:r w:rsidRPr="00E16E87">
        <w:rPr>
          <w:sz w:val="24"/>
          <w:szCs w:val="24"/>
        </w:rPr>
        <w:t xml:space="preserve">egional </w:t>
      </w:r>
      <w:r w:rsidR="00AC74F3">
        <w:rPr>
          <w:sz w:val="24"/>
          <w:szCs w:val="24"/>
        </w:rPr>
        <w:t>i</w:t>
      </w:r>
      <w:r w:rsidRPr="00E16E87">
        <w:rPr>
          <w:sz w:val="24"/>
          <w:szCs w:val="24"/>
        </w:rPr>
        <w:t xml:space="preserve">ncident </w:t>
      </w:r>
      <w:r w:rsidR="00AC74F3">
        <w:rPr>
          <w:sz w:val="24"/>
          <w:szCs w:val="24"/>
        </w:rPr>
        <w:t>r</w:t>
      </w:r>
      <w:r w:rsidRPr="00E16E87">
        <w:rPr>
          <w:sz w:val="24"/>
          <w:szCs w:val="24"/>
        </w:rPr>
        <w:t xml:space="preserve">esponse plan. This information should be used to guide stock holding, </w:t>
      </w:r>
      <w:r w:rsidR="00D84303" w:rsidRPr="00E16E87">
        <w:rPr>
          <w:sz w:val="24"/>
          <w:szCs w:val="24"/>
        </w:rPr>
        <w:t>redistribution,</w:t>
      </w:r>
      <w:r w:rsidRPr="00E16E87">
        <w:rPr>
          <w:sz w:val="24"/>
          <w:szCs w:val="24"/>
        </w:rPr>
        <w:t xml:space="preserve"> and re-stocking during an incident.  Systems should be in place to maintain cold chain and traceability during an MCE. Blood components may be moved within the hospital and potentially between hospitals. Consideration should be given to the use of a member of staff as a transfusion coordinator to co-ordinate activity including blood sample collection and labelling, maintaining cold chain and traceability evidence.</w:t>
      </w:r>
      <w:r w:rsidR="00D04777">
        <w:rPr>
          <w:sz w:val="24"/>
          <w:szCs w:val="24"/>
          <w:vertAlign w:val="superscript"/>
        </w:rPr>
        <w:t>2</w:t>
      </w:r>
      <w:r w:rsidR="00935D26">
        <w:rPr>
          <w:sz w:val="24"/>
          <w:szCs w:val="24"/>
          <w:vertAlign w:val="superscript"/>
        </w:rPr>
        <w:t>4</w:t>
      </w:r>
      <w:r w:rsidR="00D04777">
        <w:rPr>
          <w:sz w:val="24"/>
          <w:szCs w:val="24"/>
          <w:vertAlign w:val="superscript"/>
        </w:rPr>
        <w:t>,2</w:t>
      </w:r>
      <w:r w:rsidR="00935D26">
        <w:rPr>
          <w:sz w:val="24"/>
          <w:szCs w:val="24"/>
          <w:vertAlign w:val="superscript"/>
        </w:rPr>
        <w:t>5</w:t>
      </w:r>
      <w:r w:rsidR="00F21BA2">
        <w:rPr>
          <w:sz w:val="24"/>
          <w:szCs w:val="24"/>
          <w:vertAlign w:val="superscript"/>
        </w:rPr>
        <w:t xml:space="preserve"> </w:t>
      </w:r>
      <w:r w:rsidR="00F21BA2">
        <w:rPr>
          <w:sz w:val="24"/>
          <w:szCs w:val="24"/>
        </w:rPr>
        <w:t xml:space="preserve">All </w:t>
      </w:r>
      <w:r w:rsidR="00F21BA2">
        <w:rPr>
          <w:sz w:val="24"/>
          <w:szCs w:val="24"/>
        </w:rPr>
        <w:lastRenderedPageBreak/>
        <w:t>mass casualty events in UK and internationally provide important learning points for enabling timely and safe transfusion support in emergencies.</w:t>
      </w:r>
      <w:r w:rsidR="002A330F">
        <w:rPr>
          <w:sz w:val="24"/>
          <w:szCs w:val="24"/>
          <w:vertAlign w:val="superscript"/>
        </w:rPr>
        <w:t>25,26</w:t>
      </w:r>
      <w:r w:rsidR="00935D26">
        <w:rPr>
          <w:sz w:val="24"/>
          <w:szCs w:val="24"/>
          <w:vertAlign w:val="superscript"/>
        </w:rPr>
        <w:t>,27</w:t>
      </w:r>
    </w:p>
    <w:p w14:paraId="7B06CFCD" w14:textId="77777777" w:rsidR="00077F24" w:rsidRDefault="00077F24" w:rsidP="00551B1F">
      <w:pPr>
        <w:spacing w:line="360" w:lineRule="auto"/>
        <w:jc w:val="both"/>
      </w:pPr>
    </w:p>
    <w:p w14:paraId="41598CF0" w14:textId="77777777" w:rsidR="005D2F42" w:rsidRDefault="005D2F42" w:rsidP="00551B1F">
      <w:pPr>
        <w:spacing w:line="360" w:lineRule="auto"/>
        <w:jc w:val="both"/>
      </w:pPr>
    </w:p>
    <w:p w14:paraId="26F95823" w14:textId="142FB2E5" w:rsidR="00701F8A" w:rsidRDefault="00701F8A" w:rsidP="00551B1F">
      <w:pPr>
        <w:spacing w:line="360" w:lineRule="auto"/>
        <w:jc w:val="both"/>
        <w:rPr>
          <w:b/>
          <w:bCs/>
          <w:sz w:val="24"/>
          <w:szCs w:val="24"/>
        </w:rPr>
      </w:pPr>
      <w:r w:rsidRPr="00371A11">
        <w:rPr>
          <w:b/>
          <w:bCs/>
          <w:sz w:val="24"/>
          <w:szCs w:val="24"/>
        </w:rPr>
        <w:t>References</w:t>
      </w:r>
    </w:p>
    <w:p w14:paraId="3C595198" w14:textId="77777777" w:rsidR="00371A11" w:rsidRPr="00371A11" w:rsidRDefault="00371A11" w:rsidP="00371A11">
      <w:pPr>
        <w:pStyle w:val="EndNoteBibliography"/>
        <w:numPr>
          <w:ilvl w:val="0"/>
          <w:numId w:val="25"/>
        </w:numPr>
        <w:ind w:left="567" w:hanging="567"/>
        <w:rPr>
          <w:color w:val="212121"/>
          <w:sz w:val="20"/>
          <w:szCs w:val="20"/>
          <w:shd w:val="clear" w:color="auto" w:fill="FFFFFF"/>
          <w:lang w:val="en-GB"/>
        </w:rPr>
      </w:pPr>
      <w:r w:rsidRPr="00371A11">
        <w:rPr>
          <w:color w:val="212121"/>
          <w:sz w:val="20"/>
          <w:szCs w:val="20"/>
          <w:shd w:val="clear" w:color="auto" w:fill="FFFFFF"/>
          <w:lang w:val="en-GB"/>
        </w:rPr>
        <w:t>S Narayan (Ed) D Poles et al. on behalf of the Serious Hazards of Transfusion (SHOT) Steering Group. The 2020 Annual SHOT Report (2021).</w:t>
      </w:r>
      <w:r w:rsidRPr="00371A11">
        <w:rPr>
          <w:color w:val="212121"/>
          <w:sz w:val="20"/>
          <w:szCs w:val="20"/>
          <w:shd w:val="clear" w:color="auto" w:fill="FFFFFF"/>
          <w:lang w:val="en-GB"/>
        </w:rPr>
        <w:br/>
      </w:r>
    </w:p>
    <w:p w14:paraId="499BF7F4" w14:textId="09C36C86" w:rsidR="00371A11" w:rsidRPr="00371A11" w:rsidRDefault="00371A11" w:rsidP="00371A11">
      <w:pPr>
        <w:pStyle w:val="EndNoteBibliography"/>
        <w:numPr>
          <w:ilvl w:val="0"/>
          <w:numId w:val="25"/>
        </w:numPr>
        <w:ind w:left="567" w:hanging="567"/>
        <w:rPr>
          <w:sz w:val="20"/>
          <w:szCs w:val="20"/>
          <w:lang w:val="en-GB"/>
        </w:rPr>
      </w:pPr>
      <w:r w:rsidRPr="00371A11">
        <w:rPr>
          <w:sz w:val="20"/>
          <w:szCs w:val="20"/>
        </w:rPr>
        <w:t xml:space="preserve">Alexandrino H, Baptista S, Vale L, Júnior JHZ, Espada PC, Junior DS, </w:t>
      </w:r>
      <w:r w:rsidR="00087053">
        <w:rPr>
          <w:sz w:val="20"/>
          <w:szCs w:val="20"/>
        </w:rPr>
        <w:t>et al</w:t>
      </w:r>
      <w:r w:rsidRPr="00371A11">
        <w:rPr>
          <w:sz w:val="20"/>
          <w:szCs w:val="20"/>
        </w:rPr>
        <w:t xml:space="preserve"> Improving Intraoperative Communication in Trauma: The Educational Effect of the Joint DSTC™-DATC™ Courses. World J Surg. 2020 Jun;44(6):1856-1862.</w:t>
      </w:r>
    </w:p>
    <w:p w14:paraId="7F842D45" w14:textId="77777777" w:rsidR="00371A11" w:rsidRPr="00371A11" w:rsidRDefault="00371A11" w:rsidP="00371A11">
      <w:pPr>
        <w:pStyle w:val="EndNoteBibliography"/>
        <w:ind w:left="567"/>
        <w:rPr>
          <w:sz w:val="20"/>
          <w:szCs w:val="20"/>
          <w:lang w:val="en-GB"/>
        </w:rPr>
      </w:pPr>
    </w:p>
    <w:p w14:paraId="6CB173E0" w14:textId="77777777" w:rsidR="00592497" w:rsidRPr="0089540B" w:rsidRDefault="00592497" w:rsidP="00592497">
      <w:pPr>
        <w:pStyle w:val="EndNoteBibliography"/>
        <w:numPr>
          <w:ilvl w:val="0"/>
          <w:numId w:val="25"/>
        </w:numPr>
        <w:ind w:left="567" w:hanging="567"/>
        <w:rPr>
          <w:color w:val="000000" w:themeColor="text1"/>
          <w:sz w:val="18"/>
          <w:szCs w:val="18"/>
          <w:lang w:val="en-GB"/>
        </w:rPr>
      </w:pPr>
      <w:r w:rsidRPr="0089540B">
        <w:rPr>
          <w:noProof/>
          <w:color w:val="000000" w:themeColor="text1"/>
          <w:sz w:val="20"/>
          <w:szCs w:val="20"/>
          <w:lang w:eastAsia="ja-JP"/>
        </w:rPr>
        <w:t xml:space="preserve">Curry NS, Davenport R, Pavord S, Mallett SV, Kitchen D, Klein AA, et al. The use of viscoelastic haemostatic assays in the management of major bleeding: A British Society for Haematology Guideline. </w:t>
      </w:r>
      <w:r w:rsidRPr="0089540B">
        <w:rPr>
          <w:i/>
          <w:iCs/>
          <w:noProof/>
          <w:color w:val="000000" w:themeColor="text1"/>
          <w:sz w:val="20"/>
          <w:szCs w:val="20"/>
          <w:lang w:eastAsia="ja-JP"/>
        </w:rPr>
        <w:t>Br J Haematol</w:t>
      </w:r>
      <w:r w:rsidRPr="0089540B">
        <w:rPr>
          <w:noProof/>
          <w:color w:val="000000" w:themeColor="text1"/>
          <w:sz w:val="20"/>
          <w:szCs w:val="20"/>
          <w:lang w:eastAsia="ja-JP"/>
        </w:rPr>
        <w:t>. 2018;</w:t>
      </w:r>
      <w:r w:rsidRPr="0089540B">
        <w:rPr>
          <w:b/>
          <w:bCs/>
          <w:noProof/>
          <w:color w:val="000000" w:themeColor="text1"/>
          <w:sz w:val="20"/>
          <w:szCs w:val="20"/>
          <w:lang w:eastAsia="ja-JP"/>
        </w:rPr>
        <w:t>182</w:t>
      </w:r>
      <w:r w:rsidRPr="0089540B">
        <w:rPr>
          <w:noProof/>
          <w:color w:val="000000" w:themeColor="text1"/>
          <w:sz w:val="20"/>
          <w:szCs w:val="20"/>
          <w:lang w:eastAsia="ja-JP"/>
        </w:rPr>
        <w:t>(6):789-806.</w:t>
      </w:r>
      <w:r w:rsidRPr="0089540B">
        <w:rPr>
          <w:color w:val="000000" w:themeColor="text1"/>
          <w:sz w:val="20"/>
          <w:szCs w:val="20"/>
        </w:rPr>
        <w:br/>
      </w:r>
    </w:p>
    <w:p w14:paraId="2CB63EAF" w14:textId="78E640EA" w:rsidR="00592497" w:rsidRPr="00592497" w:rsidRDefault="00592497" w:rsidP="00592497">
      <w:pPr>
        <w:pStyle w:val="EndNoteBibliography"/>
        <w:numPr>
          <w:ilvl w:val="0"/>
          <w:numId w:val="25"/>
        </w:numPr>
        <w:ind w:left="567" w:hanging="567"/>
      </w:pPr>
      <w:r w:rsidRPr="0089540B">
        <w:rPr>
          <w:color w:val="000000" w:themeColor="text1"/>
          <w:sz w:val="20"/>
          <w:szCs w:val="20"/>
          <w:lang w:val="en-GB"/>
        </w:rPr>
        <w:t xml:space="preserve">Baksaas-Aasen K, Gall LS, Stensballe J, Juffermans NP, Curry N, Maegele M, et al. Viscoelastic haemostatic assay augmented protocols for major trauma haemorrhage (ITACTIC): a randomized, controlled trial. </w:t>
      </w:r>
      <w:r w:rsidRPr="0089540B">
        <w:rPr>
          <w:i/>
          <w:iCs/>
          <w:color w:val="000000" w:themeColor="text1"/>
          <w:sz w:val="20"/>
          <w:szCs w:val="20"/>
          <w:lang w:val="en-GB"/>
        </w:rPr>
        <w:t>Intensive Care Med</w:t>
      </w:r>
      <w:r w:rsidRPr="0089540B">
        <w:rPr>
          <w:color w:val="000000" w:themeColor="text1"/>
          <w:sz w:val="20"/>
          <w:szCs w:val="20"/>
          <w:lang w:val="en-GB"/>
        </w:rPr>
        <w:t>. 2021 Jan;</w:t>
      </w:r>
      <w:r w:rsidRPr="0089540B">
        <w:rPr>
          <w:b/>
          <w:bCs/>
          <w:color w:val="000000" w:themeColor="text1"/>
          <w:sz w:val="20"/>
          <w:szCs w:val="20"/>
          <w:lang w:val="en-GB"/>
        </w:rPr>
        <w:t>47</w:t>
      </w:r>
      <w:r w:rsidRPr="0089540B">
        <w:rPr>
          <w:color w:val="000000" w:themeColor="text1"/>
          <w:sz w:val="20"/>
          <w:szCs w:val="20"/>
          <w:lang w:val="en-GB"/>
        </w:rPr>
        <w:t>(1):49-59.</w:t>
      </w:r>
      <w:r>
        <w:rPr>
          <w:sz w:val="20"/>
          <w:szCs w:val="20"/>
          <w:lang w:val="en-GB"/>
        </w:rPr>
        <w:br/>
      </w:r>
    </w:p>
    <w:p w14:paraId="0CC9A3E9" w14:textId="4358475B" w:rsidR="00371A11" w:rsidRPr="00371A11" w:rsidRDefault="00371A11" w:rsidP="00371A11">
      <w:pPr>
        <w:pStyle w:val="EndNoteBibliography"/>
        <w:numPr>
          <w:ilvl w:val="0"/>
          <w:numId w:val="25"/>
        </w:numPr>
        <w:ind w:left="567" w:hanging="567"/>
        <w:rPr>
          <w:sz w:val="20"/>
          <w:szCs w:val="20"/>
          <w:lang w:val="en-GB"/>
        </w:rPr>
      </w:pPr>
      <w:r w:rsidRPr="00371A11">
        <w:rPr>
          <w:sz w:val="20"/>
          <w:szCs w:val="20"/>
          <w:lang w:val="en-GB"/>
        </w:rPr>
        <w:t xml:space="preserve">Robinson S, Harris A, Atkinson S, Atterbury C, Bolton-Maggs P, Elliott C, et al. The administration of blood components: a British Society for Haematology Guideline. </w:t>
      </w:r>
      <w:r w:rsidRPr="00371A11">
        <w:rPr>
          <w:i/>
          <w:iCs/>
          <w:sz w:val="20"/>
          <w:szCs w:val="20"/>
          <w:lang w:val="en-GB"/>
        </w:rPr>
        <w:t>Transfusion Medicine</w:t>
      </w:r>
      <w:r w:rsidRPr="00371A11">
        <w:rPr>
          <w:sz w:val="20"/>
          <w:szCs w:val="20"/>
          <w:lang w:val="en-GB"/>
        </w:rPr>
        <w:t>. 2018;</w:t>
      </w:r>
      <w:r w:rsidRPr="00371A11">
        <w:rPr>
          <w:b/>
          <w:bCs/>
          <w:sz w:val="20"/>
          <w:szCs w:val="20"/>
          <w:lang w:val="en-GB"/>
        </w:rPr>
        <w:t>28</w:t>
      </w:r>
      <w:r w:rsidRPr="00371A11">
        <w:rPr>
          <w:sz w:val="20"/>
          <w:szCs w:val="20"/>
          <w:lang w:val="en-GB"/>
        </w:rPr>
        <w:t>:3-21.</w:t>
      </w:r>
    </w:p>
    <w:p w14:paraId="2EA1CE3A" w14:textId="77777777" w:rsidR="00371A11" w:rsidRPr="00371A11" w:rsidRDefault="00371A11" w:rsidP="00371A11">
      <w:pPr>
        <w:pStyle w:val="EndNoteBibliography"/>
        <w:rPr>
          <w:sz w:val="20"/>
          <w:szCs w:val="20"/>
          <w:lang w:val="en-GB"/>
        </w:rPr>
      </w:pPr>
    </w:p>
    <w:p w14:paraId="107163D6" w14:textId="77777777" w:rsidR="00371A11" w:rsidRPr="00371A11" w:rsidRDefault="00371A11" w:rsidP="00371A11">
      <w:pPr>
        <w:pStyle w:val="EndNoteBibliography"/>
        <w:numPr>
          <w:ilvl w:val="0"/>
          <w:numId w:val="25"/>
        </w:numPr>
        <w:ind w:left="567" w:hanging="567"/>
        <w:rPr>
          <w:sz w:val="20"/>
          <w:szCs w:val="20"/>
          <w:lang w:val="en-GB"/>
        </w:rPr>
      </w:pPr>
      <w:r w:rsidRPr="00371A11">
        <w:rPr>
          <w:sz w:val="20"/>
          <w:szCs w:val="20"/>
          <w:lang w:val="en-GB"/>
        </w:rPr>
        <w:t xml:space="preserve">National Patient Safety. The transfusion of blood and blood components in an emergency. NPSA/2010/RRR017. Available from: </w:t>
      </w:r>
      <w:hyperlink r:id="rId12" w:history="1">
        <w:r w:rsidRPr="00371A11">
          <w:rPr>
            <w:rStyle w:val="Hyperlink"/>
            <w:rFonts w:cs="Arial"/>
            <w:sz w:val="20"/>
            <w:szCs w:val="20"/>
            <w:lang w:val="en-GB"/>
          </w:rPr>
          <w:t>https://www.transfusionguidelines.org/document-library/documents/npsa-rapid-response-report-the-transfusion-of-blood-and-blood-components-in-an-emergency-21-october-2010-pdf-100kb</w:t>
        </w:r>
      </w:hyperlink>
      <w:r w:rsidRPr="00371A11">
        <w:rPr>
          <w:sz w:val="20"/>
          <w:szCs w:val="20"/>
          <w:lang w:val="en-GB"/>
        </w:rPr>
        <w:t>. Accessed 29</w:t>
      </w:r>
      <w:r w:rsidRPr="00371A11">
        <w:rPr>
          <w:sz w:val="20"/>
          <w:szCs w:val="20"/>
          <w:vertAlign w:val="superscript"/>
          <w:lang w:val="en-GB"/>
        </w:rPr>
        <w:t>th</w:t>
      </w:r>
      <w:r w:rsidRPr="00371A11">
        <w:rPr>
          <w:sz w:val="20"/>
          <w:szCs w:val="20"/>
          <w:lang w:val="en-GB"/>
        </w:rPr>
        <w:t xml:space="preserve"> July 2021 </w:t>
      </w:r>
    </w:p>
    <w:p w14:paraId="690FB745" w14:textId="77777777" w:rsidR="00371A11" w:rsidRPr="00371A11" w:rsidRDefault="00371A11" w:rsidP="00371A11">
      <w:pPr>
        <w:pStyle w:val="EndNoteBibliography"/>
        <w:ind w:left="567"/>
        <w:rPr>
          <w:sz w:val="20"/>
          <w:szCs w:val="20"/>
          <w:lang w:val="en-GB"/>
        </w:rPr>
      </w:pPr>
    </w:p>
    <w:p w14:paraId="1AF6CA8E" w14:textId="4891D667" w:rsidR="00371A11" w:rsidRPr="00935D26" w:rsidRDefault="00371A11" w:rsidP="00935D26">
      <w:pPr>
        <w:pStyle w:val="EndNoteBibliography"/>
        <w:numPr>
          <w:ilvl w:val="0"/>
          <w:numId w:val="25"/>
        </w:numPr>
        <w:ind w:left="567" w:hanging="567"/>
        <w:rPr>
          <w:sz w:val="20"/>
          <w:szCs w:val="20"/>
          <w:lang w:val="en-GB"/>
        </w:rPr>
      </w:pPr>
      <w:r w:rsidRPr="00371A11">
        <w:rPr>
          <w:sz w:val="20"/>
          <w:szCs w:val="20"/>
          <w:lang w:val="en-GB"/>
        </w:rPr>
        <w:t xml:space="preserve">NHS Improvement (2018). Patient Safety Alert; safer Temporary Identification Criteria for Unknown or Unidentified patients.  Available from: https://www.england.nhs.uk/publication/patient-safety-alert-safer-temporary-identification-criteria-for-unknown-or-unidentified-patients/. </w:t>
      </w:r>
      <w:hyperlink r:id="rId13" w:history="1">
        <w:r w:rsidR="00935D26" w:rsidRPr="00935D26">
          <w:rPr>
            <w:sz w:val="20"/>
            <w:szCs w:val="20"/>
            <w:lang w:val="en-GB"/>
          </w:rPr>
          <w:t>Patient_Safety_Alert_-_unknown_or_unidentified_patients_FINAL.pdf (england.nhs.uk)</w:t>
        </w:r>
      </w:hyperlink>
      <w:r w:rsidR="00935D26">
        <w:rPr>
          <w:color w:val="212121"/>
          <w:sz w:val="20"/>
          <w:szCs w:val="20"/>
          <w:shd w:val="clear" w:color="auto" w:fill="FFFFFF"/>
        </w:rPr>
        <w:t xml:space="preserve">. </w:t>
      </w:r>
      <w:r w:rsidRPr="00935D26">
        <w:rPr>
          <w:color w:val="212121"/>
          <w:sz w:val="20"/>
          <w:szCs w:val="20"/>
          <w:shd w:val="clear" w:color="auto" w:fill="FFFFFF"/>
        </w:rPr>
        <w:t xml:space="preserve">Accessed </w:t>
      </w:r>
      <w:r w:rsidRPr="00935D26">
        <w:rPr>
          <w:sz w:val="20"/>
          <w:szCs w:val="20"/>
          <w:lang w:val="en-GB"/>
        </w:rPr>
        <w:t>July 2021.</w:t>
      </w:r>
    </w:p>
    <w:p w14:paraId="08C56010" w14:textId="77777777" w:rsidR="00371A11" w:rsidRPr="00371A11" w:rsidRDefault="00371A11" w:rsidP="00371A11">
      <w:pPr>
        <w:pStyle w:val="EndNoteBibliography"/>
        <w:ind w:left="567"/>
        <w:rPr>
          <w:sz w:val="20"/>
          <w:szCs w:val="20"/>
          <w:lang w:val="en-GB"/>
        </w:rPr>
      </w:pPr>
    </w:p>
    <w:p w14:paraId="1702FB50" w14:textId="762B232A" w:rsidR="00371A11" w:rsidRPr="00371A11" w:rsidRDefault="00371A11" w:rsidP="00371A11">
      <w:pPr>
        <w:pStyle w:val="EndNoteBibliography"/>
        <w:numPr>
          <w:ilvl w:val="0"/>
          <w:numId w:val="25"/>
        </w:numPr>
        <w:ind w:left="567" w:hanging="567"/>
        <w:rPr>
          <w:sz w:val="20"/>
          <w:szCs w:val="20"/>
          <w:lang w:val="en-GB"/>
        </w:rPr>
      </w:pPr>
      <w:r w:rsidRPr="00371A11">
        <w:rPr>
          <w:color w:val="212121"/>
          <w:sz w:val="20"/>
          <w:szCs w:val="20"/>
          <w:shd w:val="clear" w:color="auto" w:fill="FFFFFF"/>
        </w:rPr>
        <w:t xml:space="preserve">British Committee for Standards in Haematology, Milkins C, Berryman J, Cantwell C, Elliott C, Haggas R, et al. Guidelines for pre-transfusion compatibility procedures in blood transfusion laboratories. British Committee for Standards in Haematology. </w:t>
      </w:r>
      <w:r w:rsidRPr="00371A11">
        <w:rPr>
          <w:i/>
          <w:iCs/>
          <w:color w:val="212121"/>
          <w:sz w:val="20"/>
          <w:szCs w:val="20"/>
          <w:shd w:val="clear" w:color="auto" w:fill="FFFFFF"/>
        </w:rPr>
        <w:t>Transfus Med</w:t>
      </w:r>
      <w:r w:rsidRPr="00371A11">
        <w:rPr>
          <w:color w:val="212121"/>
          <w:sz w:val="20"/>
          <w:szCs w:val="20"/>
          <w:shd w:val="clear" w:color="auto" w:fill="FFFFFF"/>
        </w:rPr>
        <w:t>. 2013 Feb;</w:t>
      </w:r>
      <w:r w:rsidRPr="00371A11">
        <w:rPr>
          <w:b/>
          <w:bCs/>
          <w:color w:val="212121"/>
          <w:sz w:val="20"/>
          <w:szCs w:val="20"/>
          <w:shd w:val="clear" w:color="auto" w:fill="FFFFFF"/>
        </w:rPr>
        <w:t>23</w:t>
      </w:r>
      <w:r w:rsidRPr="00371A11">
        <w:rPr>
          <w:color w:val="212121"/>
          <w:sz w:val="20"/>
          <w:szCs w:val="20"/>
          <w:shd w:val="clear" w:color="auto" w:fill="FFFFFF"/>
        </w:rPr>
        <w:t xml:space="preserve">(1):3-35. </w:t>
      </w:r>
      <w:r w:rsidR="00CD6C4D">
        <w:rPr>
          <w:color w:val="212121"/>
          <w:sz w:val="20"/>
          <w:szCs w:val="20"/>
          <w:shd w:val="clear" w:color="auto" w:fill="FFFFFF"/>
        </w:rPr>
        <w:br/>
      </w:r>
    </w:p>
    <w:p w14:paraId="0DD762BF" w14:textId="3A84735A" w:rsidR="00F21BA2" w:rsidRPr="00040832" w:rsidRDefault="00F21BA2" w:rsidP="00371A11">
      <w:pPr>
        <w:pStyle w:val="EndNoteBibliography"/>
        <w:numPr>
          <w:ilvl w:val="0"/>
          <w:numId w:val="25"/>
        </w:numPr>
        <w:ind w:left="567" w:hanging="567"/>
        <w:rPr>
          <w:sz w:val="18"/>
          <w:szCs w:val="18"/>
          <w:lang w:val="en-GB"/>
        </w:rPr>
      </w:pPr>
      <w:r w:rsidRPr="00040832">
        <w:rPr>
          <w:sz w:val="20"/>
          <w:szCs w:val="20"/>
        </w:rPr>
        <w:t>Kaufman RM, Dinh A, Cohn CS, Fung MK, Gorlin J, Melanson S, Murphy MF, Ziman A, Elahie AL, Chasse D, Degree L, Dunbar NM, Dzik WH, Flanagan P, Gabert K, Ipe TS, Jackson B, Lane D, Raspollini E, Ray C, Sharon Y, Ellis M, Selleng K, Staves J, Yu P, Zeller M, Yazer M; BEST Collaborative. Electronic patient identification for sample labeling reduces wrong blood in tube errors. Transfusion. 2019 Mar;59(3):972-980</w:t>
      </w:r>
      <w:r w:rsidR="00CD6C4D">
        <w:rPr>
          <w:sz w:val="20"/>
          <w:szCs w:val="20"/>
        </w:rPr>
        <w:br/>
      </w:r>
    </w:p>
    <w:p w14:paraId="686FFA10" w14:textId="083FACDE" w:rsidR="00371A11" w:rsidRPr="00371A11" w:rsidRDefault="00371A11" w:rsidP="00371A11">
      <w:pPr>
        <w:pStyle w:val="EndNoteBibliography"/>
        <w:numPr>
          <w:ilvl w:val="0"/>
          <w:numId w:val="25"/>
        </w:numPr>
        <w:ind w:left="567" w:hanging="567"/>
        <w:rPr>
          <w:sz w:val="20"/>
          <w:szCs w:val="20"/>
          <w:lang w:val="en-GB"/>
        </w:rPr>
      </w:pPr>
      <w:r w:rsidRPr="00371A11">
        <w:rPr>
          <w:sz w:val="20"/>
          <w:szCs w:val="20"/>
        </w:rPr>
        <w:t xml:space="preserve">Yazer MH, Spinella PC, Doyle L, Kaufman RM, Dunn R, Hess JR, et al. Transfusion of Uncrossmatched Group O Erythrocyte-containing Products Does Not Interfere with Most ABO Typings. </w:t>
      </w:r>
      <w:r w:rsidRPr="00371A11">
        <w:rPr>
          <w:i/>
          <w:iCs/>
          <w:sz w:val="20"/>
          <w:szCs w:val="20"/>
        </w:rPr>
        <w:t>Anesthesiology</w:t>
      </w:r>
      <w:r w:rsidRPr="00371A11">
        <w:rPr>
          <w:sz w:val="20"/>
          <w:szCs w:val="20"/>
        </w:rPr>
        <w:t>. 2020;</w:t>
      </w:r>
      <w:r w:rsidRPr="00371A11">
        <w:rPr>
          <w:b/>
          <w:bCs/>
          <w:sz w:val="20"/>
          <w:szCs w:val="20"/>
        </w:rPr>
        <w:t>132</w:t>
      </w:r>
      <w:r w:rsidRPr="00371A11">
        <w:rPr>
          <w:sz w:val="20"/>
          <w:szCs w:val="20"/>
        </w:rPr>
        <w:t>(3):525–34.</w:t>
      </w:r>
    </w:p>
    <w:p w14:paraId="2AD91506" w14:textId="77777777" w:rsidR="00371A11" w:rsidRPr="00371A11" w:rsidRDefault="00371A11" w:rsidP="00371A11">
      <w:pPr>
        <w:pStyle w:val="EndNoteBibliography"/>
        <w:ind w:left="567"/>
        <w:rPr>
          <w:sz w:val="20"/>
          <w:szCs w:val="20"/>
          <w:lang w:val="en-GB"/>
        </w:rPr>
      </w:pPr>
    </w:p>
    <w:p w14:paraId="65085F85" w14:textId="77777777" w:rsidR="00371A11" w:rsidRPr="00371A11" w:rsidRDefault="00371A11" w:rsidP="00371A11">
      <w:pPr>
        <w:pStyle w:val="EndNoteBibliography"/>
        <w:numPr>
          <w:ilvl w:val="0"/>
          <w:numId w:val="25"/>
        </w:numPr>
        <w:ind w:left="567" w:hanging="567"/>
        <w:rPr>
          <w:sz w:val="20"/>
          <w:szCs w:val="20"/>
          <w:lang w:val="en-GB"/>
        </w:rPr>
      </w:pPr>
      <w:r w:rsidRPr="00371A11">
        <w:rPr>
          <w:color w:val="212121"/>
          <w:sz w:val="20"/>
          <w:szCs w:val="20"/>
          <w:shd w:val="clear" w:color="auto" w:fill="FFFFFF"/>
        </w:rPr>
        <w:t xml:space="preserve">Shah A, Brunskill SJ, Desborough MJ, Doree C, Trivella M, Stanworth SJ. Transfusion of red blood cells stored for shorter versus longer duration for all conditions. </w:t>
      </w:r>
      <w:r w:rsidRPr="00371A11">
        <w:rPr>
          <w:i/>
          <w:iCs/>
          <w:color w:val="212121"/>
          <w:sz w:val="20"/>
          <w:szCs w:val="20"/>
          <w:shd w:val="clear" w:color="auto" w:fill="FFFFFF"/>
        </w:rPr>
        <w:t>Cochrane Database Syst Rev</w:t>
      </w:r>
      <w:r w:rsidRPr="00371A11">
        <w:rPr>
          <w:color w:val="212121"/>
          <w:sz w:val="20"/>
          <w:szCs w:val="20"/>
          <w:shd w:val="clear" w:color="auto" w:fill="FFFFFF"/>
        </w:rPr>
        <w:t>. 2018 Dec 22;</w:t>
      </w:r>
      <w:r w:rsidRPr="00371A11">
        <w:rPr>
          <w:b/>
          <w:bCs/>
          <w:color w:val="212121"/>
          <w:sz w:val="20"/>
          <w:szCs w:val="20"/>
          <w:shd w:val="clear" w:color="auto" w:fill="FFFFFF"/>
        </w:rPr>
        <w:t>12</w:t>
      </w:r>
      <w:r w:rsidRPr="00371A11">
        <w:rPr>
          <w:color w:val="212121"/>
          <w:sz w:val="20"/>
          <w:szCs w:val="20"/>
          <w:shd w:val="clear" w:color="auto" w:fill="FFFFFF"/>
        </w:rPr>
        <w:t>(12):CD010801.</w:t>
      </w:r>
      <w:r w:rsidRPr="00371A11" w:rsidDel="008A5E63">
        <w:rPr>
          <w:sz w:val="20"/>
          <w:szCs w:val="20"/>
        </w:rPr>
        <w:t xml:space="preserve"> </w:t>
      </w:r>
    </w:p>
    <w:p w14:paraId="0D455114" w14:textId="77777777" w:rsidR="00371A11" w:rsidRPr="00371A11" w:rsidRDefault="00371A11" w:rsidP="00371A11">
      <w:pPr>
        <w:pStyle w:val="EndNoteBibliography"/>
        <w:ind w:left="567"/>
        <w:rPr>
          <w:sz w:val="20"/>
          <w:szCs w:val="20"/>
          <w:lang w:val="en-GB"/>
        </w:rPr>
      </w:pPr>
    </w:p>
    <w:p w14:paraId="374424FD" w14:textId="77777777" w:rsidR="00371A11" w:rsidRPr="00371A11" w:rsidRDefault="00371A11" w:rsidP="00371A11">
      <w:pPr>
        <w:pStyle w:val="EndNoteBibliography"/>
        <w:numPr>
          <w:ilvl w:val="0"/>
          <w:numId w:val="25"/>
        </w:numPr>
        <w:ind w:left="567" w:hanging="567"/>
        <w:rPr>
          <w:sz w:val="20"/>
          <w:szCs w:val="20"/>
          <w:lang w:val="en-GB"/>
        </w:rPr>
      </w:pPr>
      <w:r w:rsidRPr="00371A11">
        <w:rPr>
          <w:color w:val="212121"/>
          <w:sz w:val="20"/>
          <w:szCs w:val="20"/>
          <w:shd w:val="clear" w:color="auto" w:fill="FFFFFF"/>
        </w:rPr>
        <w:lastRenderedPageBreak/>
        <w:t xml:space="preserve">Trivella M, Stanworth SJ, Brunskill S, Dutton P, Altman DG. Can we be certain that storage duration of transfused red blood cells does not affect patient outcomes? </w:t>
      </w:r>
      <w:r w:rsidRPr="00371A11">
        <w:rPr>
          <w:i/>
          <w:iCs/>
          <w:color w:val="212121"/>
          <w:sz w:val="20"/>
          <w:szCs w:val="20"/>
          <w:shd w:val="clear" w:color="auto" w:fill="FFFFFF"/>
        </w:rPr>
        <w:t>BMJ</w:t>
      </w:r>
      <w:r w:rsidRPr="00371A11">
        <w:rPr>
          <w:color w:val="212121"/>
          <w:sz w:val="20"/>
          <w:szCs w:val="20"/>
          <w:shd w:val="clear" w:color="auto" w:fill="FFFFFF"/>
        </w:rPr>
        <w:t>. 2019 Jun 11;</w:t>
      </w:r>
      <w:r w:rsidRPr="00371A11">
        <w:rPr>
          <w:b/>
          <w:bCs/>
          <w:color w:val="212121"/>
          <w:sz w:val="20"/>
          <w:szCs w:val="20"/>
          <w:shd w:val="clear" w:color="auto" w:fill="FFFFFF"/>
        </w:rPr>
        <w:t>365</w:t>
      </w:r>
      <w:r w:rsidRPr="00371A11">
        <w:rPr>
          <w:color w:val="212121"/>
          <w:sz w:val="20"/>
          <w:szCs w:val="20"/>
          <w:shd w:val="clear" w:color="auto" w:fill="FFFFFF"/>
        </w:rPr>
        <w:t xml:space="preserve">:l2320. </w:t>
      </w:r>
      <w:r w:rsidRPr="00371A11" w:rsidDel="008A5E63">
        <w:rPr>
          <w:sz w:val="20"/>
          <w:szCs w:val="20"/>
        </w:rPr>
        <w:t xml:space="preserve"> </w:t>
      </w:r>
    </w:p>
    <w:p w14:paraId="4C4BC4A4" w14:textId="77777777" w:rsidR="00371A11" w:rsidRPr="00371A11" w:rsidRDefault="00371A11" w:rsidP="00371A11">
      <w:pPr>
        <w:pStyle w:val="EndNoteBibliography"/>
        <w:rPr>
          <w:sz w:val="20"/>
          <w:szCs w:val="20"/>
        </w:rPr>
      </w:pPr>
    </w:p>
    <w:p w14:paraId="11C3B367" w14:textId="77777777" w:rsidR="00371A11" w:rsidRPr="00371A11" w:rsidRDefault="00371A11" w:rsidP="00371A11">
      <w:pPr>
        <w:pStyle w:val="EndNoteBibliography"/>
        <w:numPr>
          <w:ilvl w:val="0"/>
          <w:numId w:val="25"/>
        </w:numPr>
        <w:ind w:left="567" w:hanging="567"/>
        <w:rPr>
          <w:sz w:val="20"/>
          <w:szCs w:val="20"/>
          <w:lang w:val="en-GB"/>
        </w:rPr>
      </w:pPr>
      <w:r w:rsidRPr="00371A11">
        <w:rPr>
          <w:sz w:val="20"/>
          <w:szCs w:val="20"/>
          <w:lang w:val="en-GB"/>
        </w:rPr>
        <w:t xml:space="preserve">Green L, Bolton-Maggs P, Beattie C, Cardigan R, Kallis Y, Stanworth SJ, et al. British Society of Haematology Guidelines on the spectrum of fresh frozen plasma and cryoprecipitate products: their handling and use in various patient groups in the absence of major bleeding. </w:t>
      </w:r>
      <w:r w:rsidRPr="00371A11">
        <w:rPr>
          <w:i/>
          <w:iCs/>
          <w:sz w:val="20"/>
          <w:szCs w:val="20"/>
          <w:lang w:val="en-GB"/>
        </w:rPr>
        <w:t>Br J Haematol</w:t>
      </w:r>
      <w:r w:rsidRPr="00371A11">
        <w:rPr>
          <w:sz w:val="20"/>
          <w:szCs w:val="20"/>
          <w:lang w:val="en-GB"/>
        </w:rPr>
        <w:t>. 2018 Apr;</w:t>
      </w:r>
      <w:r w:rsidRPr="00371A11">
        <w:rPr>
          <w:b/>
          <w:bCs/>
          <w:sz w:val="20"/>
          <w:szCs w:val="20"/>
          <w:lang w:val="en-GB"/>
        </w:rPr>
        <w:t>181</w:t>
      </w:r>
      <w:r w:rsidRPr="00371A11">
        <w:rPr>
          <w:sz w:val="20"/>
          <w:szCs w:val="20"/>
          <w:lang w:val="en-GB"/>
        </w:rPr>
        <w:t xml:space="preserve">(1):54-67.  </w:t>
      </w:r>
    </w:p>
    <w:p w14:paraId="1BC63882" w14:textId="77777777" w:rsidR="00371A11" w:rsidRPr="00371A11" w:rsidRDefault="00371A11" w:rsidP="00371A11">
      <w:pPr>
        <w:pStyle w:val="EndNoteBibliography"/>
        <w:ind w:left="567"/>
        <w:rPr>
          <w:sz w:val="20"/>
          <w:szCs w:val="20"/>
          <w:lang w:val="en-GB"/>
        </w:rPr>
      </w:pPr>
    </w:p>
    <w:p w14:paraId="1E728EA6" w14:textId="549B7528" w:rsidR="00371A11" w:rsidRDefault="00371A11" w:rsidP="00371A11">
      <w:pPr>
        <w:pStyle w:val="EndNoteBibliography"/>
        <w:numPr>
          <w:ilvl w:val="0"/>
          <w:numId w:val="25"/>
        </w:numPr>
        <w:ind w:left="567" w:hanging="567"/>
        <w:rPr>
          <w:sz w:val="20"/>
          <w:szCs w:val="20"/>
          <w:lang w:val="en-GB"/>
        </w:rPr>
      </w:pPr>
      <w:r w:rsidRPr="00371A11">
        <w:rPr>
          <w:sz w:val="20"/>
          <w:szCs w:val="20"/>
          <w:lang w:val="en-GB"/>
        </w:rPr>
        <w:t xml:space="preserve">Estcourt LJ, Birchall J, Allard S, Bassey SJ, Hersey P, Kerr JP, et al. Guidelines for the use of platelet transfusions. </w:t>
      </w:r>
      <w:r w:rsidRPr="00371A11">
        <w:rPr>
          <w:i/>
          <w:iCs/>
          <w:sz w:val="20"/>
          <w:szCs w:val="20"/>
          <w:lang w:val="en-GB"/>
        </w:rPr>
        <w:t>Br J Haematol</w:t>
      </w:r>
      <w:r w:rsidRPr="00371A11">
        <w:rPr>
          <w:sz w:val="20"/>
          <w:szCs w:val="20"/>
          <w:lang w:val="en-GB"/>
        </w:rPr>
        <w:t>. 2017 Feb;</w:t>
      </w:r>
      <w:r w:rsidRPr="00371A11">
        <w:rPr>
          <w:b/>
          <w:bCs/>
          <w:sz w:val="20"/>
          <w:szCs w:val="20"/>
          <w:lang w:val="en-GB"/>
        </w:rPr>
        <w:t>176</w:t>
      </w:r>
      <w:r w:rsidRPr="00371A11">
        <w:rPr>
          <w:sz w:val="20"/>
          <w:szCs w:val="20"/>
          <w:lang w:val="en-GB"/>
        </w:rPr>
        <w:t>(3):365-94.</w:t>
      </w:r>
    </w:p>
    <w:p w14:paraId="6AEA717F" w14:textId="77777777" w:rsidR="00C971FD" w:rsidRPr="00371A11" w:rsidRDefault="00C971FD" w:rsidP="00AD4822">
      <w:pPr>
        <w:pStyle w:val="EndNoteBibliography"/>
        <w:ind w:left="567"/>
        <w:rPr>
          <w:sz w:val="20"/>
          <w:szCs w:val="20"/>
          <w:lang w:val="en-GB"/>
        </w:rPr>
      </w:pPr>
    </w:p>
    <w:p w14:paraId="2BD72B5B" w14:textId="4FCC66C3" w:rsidR="00371A11" w:rsidRPr="00371A11" w:rsidRDefault="00371A11" w:rsidP="00371A11">
      <w:pPr>
        <w:pStyle w:val="EndNoteBibliography"/>
        <w:numPr>
          <w:ilvl w:val="0"/>
          <w:numId w:val="25"/>
        </w:numPr>
        <w:ind w:left="567" w:hanging="567"/>
        <w:rPr>
          <w:sz w:val="20"/>
          <w:szCs w:val="20"/>
          <w:lang w:val="en-GB"/>
        </w:rPr>
      </w:pPr>
      <w:r w:rsidRPr="00371A11">
        <w:rPr>
          <w:rFonts w:eastAsia="Calibri"/>
          <w:sz w:val="20"/>
          <w:szCs w:val="20"/>
        </w:rPr>
        <w:t xml:space="preserve">Guidelines for the Blood Transfusion Services in the United Kingdom. Available at: </w:t>
      </w:r>
      <w:hyperlink r:id="rId14" w:history="1">
        <w:r w:rsidRPr="00371A11">
          <w:rPr>
            <w:rStyle w:val="Hyperlink"/>
            <w:rFonts w:eastAsia="Calibri"/>
            <w:sz w:val="20"/>
            <w:szCs w:val="20"/>
          </w:rPr>
          <w:t>https://www.transfusionguidelines.org/red-book</w:t>
        </w:r>
      </w:hyperlink>
      <w:r w:rsidR="00935D26">
        <w:rPr>
          <w:rStyle w:val="Hyperlink"/>
          <w:rFonts w:eastAsia="Calibri"/>
          <w:sz w:val="20"/>
          <w:szCs w:val="20"/>
        </w:rPr>
        <w:t>. Accessed July 2021</w:t>
      </w:r>
      <w:r w:rsidRPr="00371A11">
        <w:rPr>
          <w:rFonts w:eastAsia="Calibri"/>
          <w:sz w:val="20"/>
          <w:szCs w:val="20"/>
        </w:rPr>
        <w:t xml:space="preserve"> </w:t>
      </w:r>
      <w:r w:rsidR="00A53E52">
        <w:rPr>
          <w:rFonts w:eastAsia="Calibri"/>
          <w:sz w:val="20"/>
          <w:szCs w:val="20"/>
        </w:rPr>
        <w:br/>
      </w:r>
    </w:p>
    <w:p w14:paraId="75F3ED47" w14:textId="77777777" w:rsidR="00AC087F" w:rsidRPr="00160835" w:rsidRDefault="00AC087F" w:rsidP="00AC087F">
      <w:pPr>
        <w:pStyle w:val="EndNoteBibliography"/>
        <w:numPr>
          <w:ilvl w:val="0"/>
          <w:numId w:val="25"/>
        </w:numPr>
        <w:ind w:left="567" w:hanging="567"/>
        <w:rPr>
          <w:sz w:val="20"/>
          <w:szCs w:val="20"/>
        </w:rPr>
      </w:pPr>
      <w:r w:rsidRPr="00160835">
        <w:rPr>
          <w:sz w:val="20"/>
          <w:szCs w:val="20"/>
        </w:rPr>
        <w:t>JPAC.  Change Notification UK National Blood Services.  Removal of red cells from a controlled temperature environment.  2016 (No 33)</w:t>
      </w:r>
    </w:p>
    <w:p w14:paraId="710AE193" w14:textId="77777777" w:rsidR="00AC087F" w:rsidRPr="00AD4822" w:rsidRDefault="00AC087F" w:rsidP="00AD4822">
      <w:pPr>
        <w:pStyle w:val="EndNoteBibliography"/>
        <w:rPr>
          <w:sz w:val="20"/>
          <w:szCs w:val="20"/>
          <w:lang w:val="en-GB"/>
        </w:rPr>
      </w:pPr>
    </w:p>
    <w:p w14:paraId="78A70C9C" w14:textId="098FE9D9" w:rsidR="00371A11" w:rsidRPr="00371A11" w:rsidRDefault="00371A11" w:rsidP="00371A11">
      <w:pPr>
        <w:pStyle w:val="EndNoteBibliography"/>
        <w:numPr>
          <w:ilvl w:val="0"/>
          <w:numId w:val="25"/>
        </w:numPr>
        <w:ind w:left="567" w:hanging="567"/>
        <w:rPr>
          <w:sz w:val="20"/>
          <w:szCs w:val="20"/>
          <w:lang w:val="en-GB"/>
        </w:rPr>
      </w:pPr>
      <w:r w:rsidRPr="00040832">
        <w:rPr>
          <w:sz w:val="20"/>
          <w:szCs w:val="20"/>
        </w:rPr>
        <w:t>Blood Safety and Quality Regulations (2005).</w:t>
      </w:r>
      <w:r w:rsidR="00D04777" w:rsidRPr="00CD6C4D">
        <w:rPr>
          <w:sz w:val="20"/>
          <w:szCs w:val="20"/>
          <w:lang w:val="en-GB"/>
        </w:rPr>
        <w:t xml:space="preserve"> The Blood Safety and Quality Regulations 2005. Available from: </w:t>
      </w:r>
      <w:hyperlink r:id="rId15" w:history="1">
        <w:r w:rsidR="00D04777" w:rsidRPr="00040832">
          <w:rPr>
            <w:rStyle w:val="Hyperlink"/>
            <w:rFonts w:cs="Arial"/>
            <w:sz w:val="20"/>
            <w:szCs w:val="20"/>
            <w:lang w:val="en-GB"/>
          </w:rPr>
          <w:t>http://www.legislation.gov.uk/uksi/2005/50/made</w:t>
        </w:r>
      </w:hyperlink>
      <w:r w:rsidR="00D04777" w:rsidRPr="00E710F2">
        <w:rPr>
          <w:sz w:val="20"/>
          <w:szCs w:val="20"/>
          <w:lang w:val="en-GB"/>
        </w:rPr>
        <w:t>.  Accessed July 2021</w:t>
      </w:r>
      <w:r w:rsidR="00A53E52">
        <w:rPr>
          <w:sz w:val="24"/>
          <w:szCs w:val="24"/>
        </w:rPr>
        <w:br/>
      </w:r>
    </w:p>
    <w:p w14:paraId="3B9BB29C" w14:textId="02FAD7DA" w:rsidR="00371A11" w:rsidRPr="00371A11" w:rsidRDefault="00371A11" w:rsidP="00371A11">
      <w:pPr>
        <w:pStyle w:val="EndNoteBibliography"/>
        <w:numPr>
          <w:ilvl w:val="0"/>
          <w:numId w:val="25"/>
        </w:numPr>
        <w:ind w:left="567" w:hanging="567"/>
        <w:rPr>
          <w:sz w:val="20"/>
          <w:szCs w:val="20"/>
          <w:lang w:val="en-GB"/>
        </w:rPr>
      </w:pPr>
      <w:r w:rsidRPr="00371A11">
        <w:rPr>
          <w:sz w:val="20"/>
          <w:szCs w:val="20"/>
          <w:lang w:val="en-GB"/>
        </w:rPr>
        <w:t xml:space="preserve">NHS Evidence (2011).  Electronic Blood Transfusion: Improving safety and efficiency of transfusion systems. Available from:  </w:t>
      </w:r>
      <w:hyperlink r:id="rId16" w:history="1">
        <w:r w:rsidRPr="00371A11">
          <w:rPr>
            <w:rStyle w:val="Hyperlink"/>
            <w:rFonts w:cs="Arial"/>
            <w:sz w:val="20"/>
            <w:szCs w:val="20"/>
            <w:lang w:val="en-GB"/>
          </w:rPr>
          <w:t>https://assets.publishing.service.gov.uk/government/uploads/system/uploads/attachment_data/file/215392/dh_130568.pdf. Accessed July 2021</w:t>
        </w:r>
      </w:hyperlink>
      <w:r w:rsidRPr="00371A11">
        <w:rPr>
          <w:sz w:val="20"/>
          <w:szCs w:val="20"/>
          <w:lang w:val="en-GB"/>
        </w:rPr>
        <w:t>.</w:t>
      </w:r>
      <w:r w:rsidR="00CD6C4D">
        <w:rPr>
          <w:sz w:val="20"/>
          <w:szCs w:val="20"/>
          <w:lang w:val="en-GB"/>
        </w:rPr>
        <w:br/>
      </w:r>
    </w:p>
    <w:p w14:paraId="5F1FE0EA" w14:textId="38FC0775" w:rsidR="00371A11" w:rsidRPr="00371A11" w:rsidRDefault="00371A11" w:rsidP="00371A11">
      <w:pPr>
        <w:pStyle w:val="EndNoteBibliography"/>
        <w:numPr>
          <w:ilvl w:val="0"/>
          <w:numId w:val="25"/>
        </w:numPr>
        <w:ind w:left="567" w:hanging="567"/>
        <w:rPr>
          <w:sz w:val="20"/>
          <w:szCs w:val="20"/>
          <w:lang w:val="en-GB"/>
        </w:rPr>
      </w:pPr>
      <w:r w:rsidRPr="00371A11">
        <w:rPr>
          <w:color w:val="212121"/>
          <w:sz w:val="20"/>
          <w:szCs w:val="20"/>
          <w:shd w:val="clear" w:color="auto" w:fill="FFFFFF"/>
        </w:rPr>
        <w:t xml:space="preserve">Rehn M, Weaver AE, Eshelby S, Røislien J, Lockey DJ. Pre-hospital transfusion of red blood cells in civilian trauma patients. </w:t>
      </w:r>
      <w:r w:rsidRPr="00371A11">
        <w:rPr>
          <w:i/>
          <w:iCs/>
          <w:color w:val="212121"/>
          <w:sz w:val="20"/>
          <w:szCs w:val="20"/>
          <w:shd w:val="clear" w:color="auto" w:fill="FFFFFF"/>
        </w:rPr>
        <w:t>Transfus Med</w:t>
      </w:r>
      <w:r w:rsidRPr="00371A11">
        <w:rPr>
          <w:color w:val="212121"/>
          <w:sz w:val="20"/>
          <w:szCs w:val="20"/>
          <w:shd w:val="clear" w:color="auto" w:fill="FFFFFF"/>
        </w:rPr>
        <w:t>. 2018 Aug;</w:t>
      </w:r>
      <w:r w:rsidRPr="00371A11">
        <w:rPr>
          <w:b/>
          <w:bCs/>
          <w:color w:val="212121"/>
          <w:sz w:val="20"/>
          <w:szCs w:val="20"/>
          <w:shd w:val="clear" w:color="auto" w:fill="FFFFFF"/>
        </w:rPr>
        <w:t>28</w:t>
      </w:r>
      <w:r w:rsidRPr="00371A11">
        <w:rPr>
          <w:color w:val="212121"/>
          <w:sz w:val="20"/>
          <w:szCs w:val="20"/>
          <w:shd w:val="clear" w:color="auto" w:fill="FFFFFF"/>
        </w:rPr>
        <w:t>(4):277-83.</w:t>
      </w:r>
      <w:r w:rsidR="00CD6C4D">
        <w:rPr>
          <w:color w:val="212121"/>
          <w:sz w:val="20"/>
          <w:szCs w:val="20"/>
          <w:shd w:val="clear" w:color="auto" w:fill="FFFFFF"/>
        </w:rPr>
        <w:br/>
      </w:r>
    </w:p>
    <w:p w14:paraId="65044D78" w14:textId="4D1E919C" w:rsidR="00371A11" w:rsidRPr="00D958E0" w:rsidRDefault="00371A11" w:rsidP="00371A11">
      <w:pPr>
        <w:pStyle w:val="EndNoteBibliography"/>
        <w:numPr>
          <w:ilvl w:val="0"/>
          <w:numId w:val="25"/>
        </w:numPr>
        <w:ind w:left="567" w:hanging="567"/>
        <w:rPr>
          <w:sz w:val="20"/>
          <w:szCs w:val="20"/>
          <w:lang w:val="en-GB"/>
        </w:rPr>
      </w:pPr>
      <w:r w:rsidRPr="00371A11">
        <w:rPr>
          <w:color w:val="212121"/>
          <w:sz w:val="20"/>
          <w:szCs w:val="20"/>
          <w:shd w:val="clear" w:color="auto" w:fill="FFFFFF"/>
        </w:rPr>
        <w:t xml:space="preserve">Hervig TA, Doughty HA, Cardigan RA, Apelseth TO, Hess JR, Noorman F, et al. Re-introducing whole blood for transfusion: considerations for blood providers. </w:t>
      </w:r>
      <w:r w:rsidRPr="00371A11">
        <w:rPr>
          <w:i/>
          <w:iCs/>
          <w:color w:val="212121"/>
          <w:sz w:val="20"/>
          <w:szCs w:val="20"/>
          <w:shd w:val="clear" w:color="auto" w:fill="FFFFFF"/>
        </w:rPr>
        <w:t>Vox Sang</w:t>
      </w:r>
      <w:r w:rsidRPr="00371A11">
        <w:rPr>
          <w:color w:val="212121"/>
          <w:sz w:val="20"/>
          <w:szCs w:val="20"/>
          <w:shd w:val="clear" w:color="auto" w:fill="FFFFFF"/>
        </w:rPr>
        <w:t>. 2021 Feb;</w:t>
      </w:r>
      <w:r w:rsidRPr="00371A11">
        <w:rPr>
          <w:b/>
          <w:bCs/>
          <w:color w:val="212121"/>
          <w:sz w:val="20"/>
          <w:szCs w:val="20"/>
          <w:shd w:val="clear" w:color="auto" w:fill="FFFFFF"/>
        </w:rPr>
        <w:t>116</w:t>
      </w:r>
      <w:r w:rsidRPr="00371A11">
        <w:rPr>
          <w:color w:val="212121"/>
          <w:sz w:val="20"/>
          <w:szCs w:val="20"/>
          <w:shd w:val="clear" w:color="auto" w:fill="FFFFFF"/>
        </w:rPr>
        <w:t>(2):167-174.</w:t>
      </w:r>
      <w:r w:rsidR="00CD6C4D">
        <w:rPr>
          <w:color w:val="212121"/>
          <w:sz w:val="20"/>
          <w:szCs w:val="20"/>
          <w:shd w:val="clear" w:color="auto" w:fill="FFFFFF"/>
        </w:rPr>
        <w:br/>
      </w:r>
    </w:p>
    <w:p w14:paraId="79FD006C" w14:textId="16A078A8" w:rsidR="00371A11" w:rsidRPr="00D958E0" w:rsidRDefault="00371A11" w:rsidP="00D958E0">
      <w:pPr>
        <w:pStyle w:val="EndNoteBibliography"/>
        <w:numPr>
          <w:ilvl w:val="0"/>
          <w:numId w:val="25"/>
        </w:numPr>
        <w:ind w:left="567" w:hanging="567"/>
        <w:rPr>
          <w:sz w:val="20"/>
          <w:szCs w:val="20"/>
          <w:lang w:val="en-GB"/>
        </w:rPr>
      </w:pPr>
      <w:r w:rsidRPr="003A49D0">
        <w:rPr>
          <w:sz w:val="20"/>
          <w:szCs w:val="20"/>
          <w:lang w:val="en-GB"/>
        </w:rPr>
        <w:t>Yazer MH, Delaney M, Doughty H, Dunbar NM, Al-Riyami AZ, Triulzi DJ, et al. It is time to reconsider the risks of transfusing RhD</w:t>
      </w:r>
      <w:r w:rsidRPr="00D958E0">
        <w:rPr>
          <w:sz w:val="20"/>
          <w:szCs w:val="20"/>
          <w:lang w:val="en-GB"/>
        </w:rPr>
        <w:t xml:space="preserve"> negative females of childbearing potential with RhD positive red blood cells in bleeding emergencies. </w:t>
      </w:r>
      <w:r w:rsidRPr="00D958E0">
        <w:rPr>
          <w:i/>
          <w:iCs/>
          <w:sz w:val="20"/>
          <w:szCs w:val="20"/>
          <w:lang w:val="en-GB"/>
        </w:rPr>
        <w:t>Transfusion</w:t>
      </w:r>
      <w:r w:rsidRPr="00D958E0">
        <w:rPr>
          <w:sz w:val="20"/>
          <w:szCs w:val="20"/>
          <w:lang w:val="en-GB"/>
        </w:rPr>
        <w:t>. 2019 Dec;</w:t>
      </w:r>
      <w:r w:rsidRPr="00D958E0">
        <w:rPr>
          <w:b/>
          <w:bCs/>
          <w:sz w:val="20"/>
          <w:szCs w:val="20"/>
          <w:lang w:val="en-GB"/>
        </w:rPr>
        <w:t>59</w:t>
      </w:r>
      <w:r w:rsidRPr="00D958E0">
        <w:rPr>
          <w:sz w:val="20"/>
          <w:szCs w:val="20"/>
          <w:lang w:val="en-GB"/>
        </w:rPr>
        <w:t>(12):3794-9.</w:t>
      </w:r>
      <w:r w:rsidR="00A53E52" w:rsidRPr="00D958E0">
        <w:rPr>
          <w:sz w:val="20"/>
          <w:szCs w:val="20"/>
          <w:lang w:val="en-GB"/>
        </w:rPr>
        <w:br/>
      </w:r>
    </w:p>
    <w:p w14:paraId="1FCE3C36" w14:textId="2456C9B9" w:rsidR="00D04777" w:rsidRDefault="00371A11" w:rsidP="00371A11">
      <w:pPr>
        <w:pStyle w:val="EndNoteBibliography"/>
        <w:numPr>
          <w:ilvl w:val="0"/>
          <w:numId w:val="25"/>
        </w:numPr>
        <w:ind w:left="567" w:hanging="567"/>
        <w:rPr>
          <w:sz w:val="20"/>
          <w:szCs w:val="20"/>
          <w:lang w:val="en-GB"/>
        </w:rPr>
      </w:pPr>
      <w:r w:rsidRPr="00371A11">
        <w:rPr>
          <w:sz w:val="20"/>
          <w:szCs w:val="20"/>
          <w:lang w:val="en-GB"/>
        </w:rPr>
        <w:t xml:space="preserve">Bamber JH, O'Brien J, Foukaneli D, Dhesi A. A prospective survey of blood products transferred with patients during inter-hospital transfers in the East of England. </w:t>
      </w:r>
      <w:r w:rsidRPr="00371A11">
        <w:rPr>
          <w:i/>
          <w:iCs/>
          <w:sz w:val="20"/>
          <w:szCs w:val="20"/>
          <w:lang w:val="en-GB"/>
        </w:rPr>
        <w:t>Transfus Med</w:t>
      </w:r>
      <w:r w:rsidRPr="00371A11">
        <w:rPr>
          <w:sz w:val="20"/>
          <w:szCs w:val="20"/>
          <w:lang w:val="en-GB"/>
        </w:rPr>
        <w:t>. 2015 Oct;</w:t>
      </w:r>
      <w:r w:rsidRPr="00371A11">
        <w:rPr>
          <w:b/>
          <w:bCs/>
          <w:sz w:val="20"/>
          <w:szCs w:val="20"/>
          <w:lang w:val="en-GB"/>
        </w:rPr>
        <w:t>25</w:t>
      </w:r>
      <w:r w:rsidRPr="00371A11">
        <w:rPr>
          <w:sz w:val="20"/>
          <w:szCs w:val="20"/>
          <w:lang w:val="en-GB"/>
        </w:rPr>
        <w:t xml:space="preserve">(5):302-6. </w:t>
      </w:r>
      <w:r w:rsidR="00CD6C4D">
        <w:rPr>
          <w:sz w:val="20"/>
          <w:szCs w:val="20"/>
          <w:lang w:val="en-GB"/>
        </w:rPr>
        <w:br/>
      </w:r>
    </w:p>
    <w:p w14:paraId="5ED9D065" w14:textId="4C3914FA" w:rsidR="00D04777" w:rsidRPr="00D958E0" w:rsidRDefault="00D04777" w:rsidP="00371A11">
      <w:pPr>
        <w:pStyle w:val="EndNoteBibliography"/>
        <w:numPr>
          <w:ilvl w:val="0"/>
          <w:numId w:val="25"/>
        </w:numPr>
        <w:ind w:left="567" w:hanging="567"/>
        <w:rPr>
          <w:sz w:val="20"/>
          <w:szCs w:val="20"/>
          <w:lang w:val="en-GB"/>
        </w:rPr>
      </w:pPr>
      <w:r w:rsidRPr="00217334">
        <w:rPr>
          <w:sz w:val="20"/>
          <w:szCs w:val="20"/>
        </w:rPr>
        <w:t xml:space="preserve">Chowdhury F, Doughty H, Batrick N. London 2017: Lessons learned in transfusion emergency planning. </w:t>
      </w:r>
      <w:r w:rsidRPr="000F0F83">
        <w:rPr>
          <w:i/>
          <w:iCs/>
          <w:sz w:val="20"/>
          <w:szCs w:val="20"/>
        </w:rPr>
        <w:t>Transfus Med</w:t>
      </w:r>
      <w:r w:rsidRPr="00217334">
        <w:rPr>
          <w:sz w:val="20"/>
          <w:szCs w:val="20"/>
        </w:rPr>
        <w:t>. 2021 Apr;</w:t>
      </w:r>
      <w:r w:rsidRPr="000F0F83">
        <w:rPr>
          <w:b/>
          <w:bCs/>
          <w:sz w:val="20"/>
          <w:szCs w:val="20"/>
        </w:rPr>
        <w:t>31</w:t>
      </w:r>
      <w:r w:rsidRPr="00217334">
        <w:rPr>
          <w:sz w:val="20"/>
          <w:szCs w:val="20"/>
        </w:rPr>
        <w:t>(2):81-7.</w:t>
      </w:r>
      <w:r w:rsidR="00CD6C4D">
        <w:rPr>
          <w:sz w:val="20"/>
          <w:szCs w:val="20"/>
        </w:rPr>
        <w:br/>
      </w:r>
    </w:p>
    <w:p w14:paraId="6A9F8566" w14:textId="77777777" w:rsidR="00D04777" w:rsidRPr="00217334" w:rsidRDefault="00D04777" w:rsidP="00D04777">
      <w:pPr>
        <w:pStyle w:val="EndNoteBibliography"/>
        <w:numPr>
          <w:ilvl w:val="0"/>
          <w:numId w:val="25"/>
        </w:numPr>
        <w:ind w:left="567" w:hanging="567"/>
        <w:rPr>
          <w:sz w:val="20"/>
          <w:szCs w:val="20"/>
          <w:lang w:val="en-GB"/>
        </w:rPr>
      </w:pPr>
      <w:r w:rsidRPr="00217334">
        <w:rPr>
          <w:sz w:val="20"/>
          <w:szCs w:val="20"/>
          <w:lang w:val="en-GB"/>
        </w:rPr>
        <w:t xml:space="preserve">Aylwin CJ, König TC, Brennan NW, Shirley PJ, Davies G, Walsh MS, et al. Reduction in critical mortality in urban mass casualty incidents: analysis of triage, surge, and resource use after the London bombings on July 7, 2005. </w:t>
      </w:r>
      <w:r w:rsidRPr="000F0F83">
        <w:rPr>
          <w:i/>
          <w:iCs/>
          <w:sz w:val="20"/>
          <w:szCs w:val="20"/>
          <w:lang w:val="en-GB"/>
        </w:rPr>
        <w:t>Lancet</w:t>
      </w:r>
      <w:r w:rsidRPr="00217334">
        <w:rPr>
          <w:sz w:val="20"/>
          <w:szCs w:val="20"/>
          <w:lang w:val="en-GB"/>
        </w:rPr>
        <w:t>. 2006 Dec 23;</w:t>
      </w:r>
      <w:r w:rsidRPr="000F0F83">
        <w:rPr>
          <w:b/>
          <w:bCs/>
          <w:sz w:val="20"/>
          <w:szCs w:val="20"/>
          <w:lang w:val="en-GB"/>
        </w:rPr>
        <w:t>368</w:t>
      </w:r>
      <w:r w:rsidRPr="00217334">
        <w:rPr>
          <w:sz w:val="20"/>
          <w:szCs w:val="20"/>
          <w:lang w:val="en-GB"/>
        </w:rPr>
        <w:t>(9554):2219-25.</w:t>
      </w:r>
    </w:p>
    <w:p w14:paraId="04CD8415" w14:textId="77777777" w:rsidR="00D04777" w:rsidRPr="00217334" w:rsidRDefault="00D04777" w:rsidP="00D04777">
      <w:pPr>
        <w:pStyle w:val="EndNoteBibliography"/>
        <w:ind w:left="567"/>
        <w:rPr>
          <w:sz w:val="20"/>
          <w:szCs w:val="20"/>
          <w:lang w:val="en-GB"/>
        </w:rPr>
      </w:pPr>
    </w:p>
    <w:p w14:paraId="5B50CDED" w14:textId="0E72EFC8" w:rsidR="00D04777" w:rsidRDefault="00D04777" w:rsidP="00D04777">
      <w:pPr>
        <w:pStyle w:val="EndNoteBibliography"/>
        <w:numPr>
          <w:ilvl w:val="0"/>
          <w:numId w:val="25"/>
        </w:numPr>
        <w:ind w:left="567" w:hanging="567"/>
        <w:rPr>
          <w:sz w:val="20"/>
          <w:szCs w:val="20"/>
          <w:lang w:val="en-GB"/>
        </w:rPr>
      </w:pPr>
      <w:bookmarkStart w:id="5" w:name="_Hlk79564139"/>
      <w:r w:rsidRPr="00217334">
        <w:rPr>
          <w:sz w:val="20"/>
          <w:szCs w:val="20"/>
          <w:lang w:val="en-GB"/>
        </w:rPr>
        <w:t xml:space="preserve">Doughty H &amp; Green L, 2021. Transfusion support during Mass Casualty Events. </w:t>
      </w:r>
      <w:r w:rsidRPr="00F33140">
        <w:rPr>
          <w:i/>
          <w:iCs/>
          <w:sz w:val="20"/>
          <w:szCs w:val="20"/>
          <w:lang w:val="en-GB"/>
        </w:rPr>
        <w:t>Br J Anaesth</w:t>
      </w:r>
      <w:r w:rsidRPr="00815803">
        <w:rPr>
          <w:sz w:val="20"/>
          <w:szCs w:val="20"/>
          <w:lang w:val="en-GB"/>
        </w:rPr>
        <w:t>. 2021 Sep 6:S0007-0912(21)00502-X. doi: 10.1016/j.bja.2021.07.027.</w:t>
      </w:r>
      <w:r w:rsidRPr="00815803" w:rsidDel="00815803">
        <w:rPr>
          <w:sz w:val="20"/>
          <w:szCs w:val="20"/>
          <w:lang w:val="en-GB"/>
        </w:rPr>
        <w:t xml:space="preserve"> </w:t>
      </w:r>
      <w:bookmarkEnd w:id="5"/>
      <w:r w:rsidR="00CD6C4D">
        <w:rPr>
          <w:sz w:val="20"/>
          <w:szCs w:val="20"/>
          <w:lang w:val="en-GB"/>
        </w:rPr>
        <w:br/>
      </w:r>
    </w:p>
    <w:p w14:paraId="7937B3AE" w14:textId="74828A83" w:rsidR="00F21BA2" w:rsidRPr="00040832" w:rsidRDefault="00F21BA2" w:rsidP="00040832">
      <w:pPr>
        <w:pStyle w:val="ListParagraph"/>
        <w:numPr>
          <w:ilvl w:val="0"/>
          <w:numId w:val="25"/>
        </w:numPr>
        <w:ind w:left="567" w:hanging="567"/>
        <w:rPr>
          <w:rFonts w:eastAsiaTheme="minorHAnsi"/>
          <w:sz w:val="20"/>
          <w:szCs w:val="20"/>
          <w:lang w:eastAsia="en-US"/>
        </w:rPr>
      </w:pPr>
      <w:r w:rsidRPr="00040832">
        <w:rPr>
          <w:rFonts w:eastAsiaTheme="minorHAnsi"/>
          <w:sz w:val="20"/>
          <w:szCs w:val="20"/>
          <w:lang w:eastAsia="en-US"/>
        </w:rPr>
        <w:t>Quillen K, Luckey CJ. Blood and bombs: blood use after the Boston Marathon bombing of April 15, 2013. Transfusion. 2014 Apr;54(4):1202-3. doi: 10.1111/trf.12642. PMID: 24724792</w:t>
      </w:r>
      <w:r w:rsidR="00CD6C4D" w:rsidRPr="00040832">
        <w:rPr>
          <w:rFonts w:eastAsiaTheme="minorHAnsi"/>
          <w:sz w:val="20"/>
          <w:szCs w:val="20"/>
          <w:lang w:eastAsia="en-US"/>
        </w:rPr>
        <w:br/>
      </w:r>
    </w:p>
    <w:p w14:paraId="4BB3023A" w14:textId="710F78AD" w:rsidR="006A0118" w:rsidRPr="001E5A1F" w:rsidRDefault="00F21BA2" w:rsidP="00D04777">
      <w:pPr>
        <w:pStyle w:val="EndNoteBibliography"/>
        <w:numPr>
          <w:ilvl w:val="0"/>
          <w:numId w:val="25"/>
        </w:numPr>
        <w:ind w:left="567" w:hanging="567"/>
        <w:rPr>
          <w:sz w:val="18"/>
          <w:szCs w:val="18"/>
          <w:lang w:val="en-GB"/>
        </w:rPr>
      </w:pPr>
      <w:r w:rsidRPr="00040832">
        <w:rPr>
          <w:sz w:val="20"/>
          <w:szCs w:val="20"/>
        </w:rPr>
        <w:t>Lozada MJ, Cai S, Li M, Davidson SL, Nix J, Ramsey G. The Las Vegas mass shooting: An analysis of blood component administration and blood bank donations. J Trauma Acute Care Surg. 2019 Jan;86(1):128-33</w:t>
      </w:r>
      <w:r w:rsidR="001E5A1F">
        <w:rPr>
          <w:sz w:val="20"/>
          <w:szCs w:val="20"/>
        </w:rPr>
        <w:br/>
      </w:r>
    </w:p>
    <w:p w14:paraId="7758D186" w14:textId="02AA3435" w:rsidR="00AA636D" w:rsidRPr="00AD4822" w:rsidRDefault="00371A11" w:rsidP="00AA636D">
      <w:pPr>
        <w:pStyle w:val="EndNoteBibliography"/>
        <w:numPr>
          <w:ilvl w:val="0"/>
          <w:numId w:val="25"/>
        </w:numPr>
        <w:ind w:left="567" w:hanging="567"/>
      </w:pPr>
      <w:r w:rsidRPr="00D958E0">
        <w:rPr>
          <w:noProof/>
          <w:sz w:val="20"/>
          <w:szCs w:val="20"/>
          <w:lang w:eastAsia="ja-JP"/>
        </w:rPr>
        <w:lastRenderedPageBreak/>
        <w:t xml:space="preserve">New HV, Berryman J, Bolton-Maggs PH, Cantwell C, Chalmers EA, Davies T, et al. Guidelines on transfusion for fetuses, neonates and older children. </w:t>
      </w:r>
      <w:r w:rsidRPr="00D958E0">
        <w:rPr>
          <w:i/>
          <w:iCs/>
          <w:noProof/>
          <w:sz w:val="20"/>
          <w:szCs w:val="20"/>
          <w:lang w:eastAsia="ja-JP"/>
        </w:rPr>
        <w:t>Br J Haematol</w:t>
      </w:r>
      <w:r w:rsidRPr="00D958E0">
        <w:rPr>
          <w:noProof/>
          <w:sz w:val="20"/>
          <w:szCs w:val="20"/>
          <w:lang w:eastAsia="ja-JP"/>
        </w:rPr>
        <w:t>. 2016;</w:t>
      </w:r>
      <w:r w:rsidRPr="00D958E0">
        <w:rPr>
          <w:b/>
          <w:bCs/>
          <w:noProof/>
          <w:sz w:val="20"/>
          <w:szCs w:val="20"/>
          <w:lang w:eastAsia="ja-JP"/>
        </w:rPr>
        <w:t>175</w:t>
      </w:r>
      <w:r w:rsidRPr="00D958E0">
        <w:rPr>
          <w:noProof/>
          <w:sz w:val="20"/>
          <w:szCs w:val="20"/>
          <w:lang w:eastAsia="ja-JP"/>
        </w:rPr>
        <w:t>(5):784-828</w:t>
      </w:r>
    </w:p>
    <w:p w14:paraId="56A180DC" w14:textId="77777777" w:rsidR="00935D26" w:rsidRDefault="00935D26" w:rsidP="00AD4822">
      <w:pPr>
        <w:pStyle w:val="EndNoteBibliography"/>
        <w:ind w:left="567"/>
      </w:pPr>
    </w:p>
    <w:p w14:paraId="0A1FDEC5" w14:textId="77777777" w:rsidR="00AA636D" w:rsidRPr="001E5A1F" w:rsidRDefault="00AA636D" w:rsidP="00AD4822">
      <w:pPr>
        <w:pStyle w:val="EndNoteBibliography"/>
        <w:ind w:left="567"/>
      </w:pPr>
    </w:p>
    <w:p w14:paraId="607B455F" w14:textId="77777777" w:rsidR="006A0118" w:rsidRPr="001E5A1F" w:rsidRDefault="006A0118" w:rsidP="001E5A1F">
      <w:pPr>
        <w:pStyle w:val="EndNoteBibliography"/>
      </w:pPr>
    </w:p>
    <w:p w14:paraId="538A12A3" w14:textId="77777777" w:rsidR="00982678" w:rsidRPr="00FA6CF7" w:rsidRDefault="00982678" w:rsidP="00982678">
      <w:pPr>
        <w:rPr>
          <w:b/>
          <w:bCs/>
        </w:rPr>
      </w:pPr>
      <w:r w:rsidRPr="00FA6CF7">
        <w:rPr>
          <w:b/>
          <w:bCs/>
        </w:rPr>
        <w:br w:type="page"/>
      </w:r>
    </w:p>
    <w:p w14:paraId="118DE91F" w14:textId="77777777" w:rsidR="003A49D0" w:rsidRDefault="003A49D0" w:rsidP="003A49D0">
      <w:pPr>
        <w:spacing w:line="480" w:lineRule="auto"/>
        <w:ind w:left="360"/>
        <w:rPr>
          <w:b/>
          <w:bCs/>
          <w:sz w:val="24"/>
          <w:szCs w:val="24"/>
        </w:rPr>
      </w:pPr>
    </w:p>
    <w:p w14:paraId="1BA44F5C" w14:textId="77777777" w:rsidR="003A49D0" w:rsidRPr="00F3162C" w:rsidRDefault="003A49D0" w:rsidP="003A49D0">
      <w:pPr>
        <w:spacing w:after="160" w:line="259" w:lineRule="auto"/>
        <w:rPr>
          <w:b/>
          <w:bCs/>
          <w:sz w:val="24"/>
          <w:szCs w:val="24"/>
        </w:rPr>
      </w:pPr>
      <w:r w:rsidRPr="00F3162C">
        <w:rPr>
          <w:b/>
          <w:bCs/>
          <w:sz w:val="24"/>
          <w:szCs w:val="24"/>
        </w:rPr>
        <w:t xml:space="preserve">Table </w:t>
      </w:r>
      <w:r>
        <w:rPr>
          <w:b/>
          <w:bCs/>
          <w:sz w:val="24"/>
          <w:szCs w:val="24"/>
        </w:rPr>
        <w:t>1</w:t>
      </w:r>
    </w:p>
    <w:p w14:paraId="09854089" w14:textId="4E158C2D" w:rsidR="003A49D0" w:rsidRPr="001E5A1F" w:rsidRDefault="005863C0" w:rsidP="003A49D0">
      <w:pPr>
        <w:spacing w:after="160" w:line="259" w:lineRule="auto"/>
      </w:pPr>
      <w:r w:rsidRPr="001E5A1F">
        <w:t>Checklist and prompts for the clinical team calling the laboratory</w:t>
      </w:r>
    </w:p>
    <w:p w14:paraId="58097F84" w14:textId="77777777" w:rsidR="003A49D0" w:rsidRPr="008536B5" w:rsidRDefault="003A49D0" w:rsidP="003A49D0">
      <w:pPr>
        <w:spacing w:after="160" w:line="259" w:lineRule="auto"/>
        <w:rPr>
          <w:b/>
          <w:bCs/>
        </w:rPr>
      </w:pPr>
    </w:p>
    <w:tbl>
      <w:tblPr>
        <w:tblStyle w:val="ListTable6ColorfulAccent2"/>
        <w:tblW w:w="0" w:type="auto"/>
        <w:tblLook w:val="04A0" w:firstRow="1" w:lastRow="0" w:firstColumn="1" w:lastColumn="0" w:noHBand="0" w:noVBand="1"/>
      </w:tblPr>
      <w:tblGrid>
        <w:gridCol w:w="2163"/>
        <w:gridCol w:w="7079"/>
      </w:tblGrid>
      <w:tr w:rsidR="003A49D0" w:rsidRPr="008536B5" w14:paraId="31F2681C" w14:textId="77777777" w:rsidTr="00A30A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Pr>
          <w:p w14:paraId="7F6DCA2F" w14:textId="77777777" w:rsidR="003A49D0" w:rsidRPr="00B96FFE" w:rsidRDefault="003A49D0" w:rsidP="00A30AD1">
            <w:pPr>
              <w:rPr>
                <w:color w:val="auto"/>
              </w:rPr>
            </w:pPr>
            <w:r w:rsidRPr="008536B5">
              <w:t>Clinical SBAR checklist for Massive Haemorrhage phone call</w:t>
            </w:r>
          </w:p>
        </w:tc>
      </w:tr>
      <w:tr w:rsidR="003A49D0" w:rsidRPr="008536B5" w14:paraId="43611F56" w14:textId="77777777" w:rsidTr="00A30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3B90B78A" w14:textId="77777777" w:rsidR="003A49D0" w:rsidRPr="00B96FFE" w:rsidRDefault="003A49D0" w:rsidP="00A30AD1">
            <w:pPr>
              <w:rPr>
                <w:color w:val="auto"/>
              </w:rPr>
            </w:pPr>
            <w:r w:rsidRPr="008536B5">
              <w:rPr>
                <w:sz w:val="36"/>
                <w:szCs w:val="36"/>
              </w:rPr>
              <w:t>S</w:t>
            </w:r>
            <w:r w:rsidRPr="008536B5">
              <w:t>ituation</w:t>
            </w:r>
          </w:p>
        </w:tc>
        <w:tc>
          <w:tcPr>
            <w:tcW w:w="7433" w:type="dxa"/>
          </w:tcPr>
          <w:p w14:paraId="39DDF9E8" w14:textId="31457799" w:rsidR="003A49D0" w:rsidRDefault="003A49D0" w:rsidP="00A30AD1">
            <w:pPr>
              <w:cnfStyle w:val="000000100000" w:firstRow="0" w:lastRow="0" w:firstColumn="0" w:lastColumn="0" w:oddVBand="0" w:evenVBand="0" w:oddHBand="1" w:evenHBand="0" w:firstRowFirstColumn="0" w:firstRowLastColumn="0" w:lastRowFirstColumn="0" w:lastRowLastColumn="0"/>
            </w:pPr>
            <w:r w:rsidRPr="008536B5">
              <w:t>Introduction – your name, role, contact number, department</w:t>
            </w:r>
          </w:p>
          <w:p w14:paraId="5109FF80" w14:textId="6B13468B" w:rsidR="005863C0" w:rsidRPr="00B96FFE" w:rsidRDefault="005863C0" w:rsidP="00A30AD1">
            <w:pPr>
              <w:cnfStyle w:val="000000100000" w:firstRow="0" w:lastRow="0" w:firstColumn="0" w:lastColumn="0" w:oddVBand="0" w:evenVBand="0" w:oddHBand="1" w:evenHBand="0" w:firstRowFirstColumn="0" w:firstRowLastColumn="0" w:lastRowFirstColumn="0" w:lastRowLastColumn="0"/>
              <w:rPr>
                <w:color w:val="auto"/>
              </w:rPr>
            </w:pPr>
            <w:r>
              <w:t>Patient location</w:t>
            </w:r>
          </w:p>
          <w:p w14:paraId="13C90BC8" w14:textId="4F30C30A" w:rsidR="003A49D0" w:rsidRPr="00B96FFE" w:rsidRDefault="003A49D0" w:rsidP="00A30AD1">
            <w:pPr>
              <w:cnfStyle w:val="000000100000" w:firstRow="0" w:lastRow="0" w:firstColumn="0" w:lastColumn="0" w:oddVBand="0" w:evenVBand="0" w:oddHBand="1" w:evenHBand="0" w:firstRowFirstColumn="0" w:firstRowLastColumn="0" w:lastRowFirstColumn="0" w:lastRowLastColumn="0"/>
              <w:rPr>
                <w:color w:val="auto"/>
              </w:rPr>
            </w:pPr>
            <w:r w:rsidRPr="008536B5">
              <w:t xml:space="preserve">Purpose of call </w:t>
            </w:r>
            <w:r w:rsidR="00D84303" w:rsidRPr="008536B5">
              <w:t>e.g.,</w:t>
            </w:r>
            <w:r w:rsidRPr="008536B5">
              <w:t xml:space="preserve"> activate MHP</w:t>
            </w:r>
          </w:p>
          <w:p w14:paraId="22D5AA9C" w14:textId="77777777" w:rsidR="003A49D0" w:rsidRPr="00B96FFE" w:rsidRDefault="003A49D0" w:rsidP="00A30AD1">
            <w:pPr>
              <w:cnfStyle w:val="000000100000" w:firstRow="0" w:lastRow="0" w:firstColumn="0" w:lastColumn="0" w:oddVBand="0" w:evenVBand="0" w:oddHBand="1" w:evenHBand="0" w:firstRowFirstColumn="0" w:firstRowLastColumn="0" w:lastRowFirstColumn="0" w:lastRowLastColumn="0"/>
              <w:rPr>
                <w:color w:val="auto"/>
              </w:rPr>
            </w:pPr>
            <w:r w:rsidRPr="008536B5">
              <w:t>How many patients</w:t>
            </w:r>
          </w:p>
          <w:p w14:paraId="79FEE9ED" w14:textId="77777777" w:rsidR="003A49D0" w:rsidRPr="00B96FFE" w:rsidRDefault="003A49D0" w:rsidP="00A30AD1">
            <w:pPr>
              <w:cnfStyle w:val="000000100000" w:firstRow="0" w:lastRow="0" w:firstColumn="0" w:lastColumn="0" w:oddVBand="0" w:evenVBand="0" w:oddHBand="1" w:evenHBand="0" w:firstRowFirstColumn="0" w:firstRowLastColumn="0" w:lastRowFirstColumn="0" w:lastRowLastColumn="0"/>
              <w:rPr>
                <w:color w:val="auto"/>
              </w:rPr>
            </w:pPr>
            <w:r w:rsidRPr="008536B5">
              <w:t xml:space="preserve">Expected </w:t>
            </w:r>
            <w:r>
              <w:t>t</w:t>
            </w:r>
            <w:r w:rsidRPr="008536B5">
              <w:t xml:space="preserve">ime of </w:t>
            </w:r>
            <w:r>
              <w:t>a</w:t>
            </w:r>
            <w:r w:rsidRPr="008536B5">
              <w:t>rrival</w:t>
            </w:r>
          </w:p>
        </w:tc>
      </w:tr>
      <w:tr w:rsidR="003A49D0" w:rsidRPr="008536B5" w14:paraId="04AA5D21" w14:textId="77777777" w:rsidTr="00A30AD1">
        <w:tc>
          <w:tcPr>
            <w:cnfStyle w:val="001000000000" w:firstRow="0" w:lastRow="0" w:firstColumn="1" w:lastColumn="0" w:oddVBand="0" w:evenVBand="0" w:oddHBand="0" w:evenHBand="0" w:firstRowFirstColumn="0" w:firstRowLastColumn="0" w:lastRowFirstColumn="0" w:lastRowLastColumn="0"/>
            <w:tcW w:w="1809" w:type="dxa"/>
          </w:tcPr>
          <w:p w14:paraId="7FFBF1FE" w14:textId="77777777" w:rsidR="003A49D0" w:rsidRPr="00B96FFE" w:rsidRDefault="003A49D0" w:rsidP="00A30AD1">
            <w:pPr>
              <w:rPr>
                <w:color w:val="auto"/>
              </w:rPr>
            </w:pPr>
            <w:r w:rsidRPr="008536B5">
              <w:rPr>
                <w:sz w:val="36"/>
                <w:szCs w:val="36"/>
              </w:rPr>
              <w:t>B</w:t>
            </w:r>
            <w:r w:rsidRPr="008536B5">
              <w:t>ackground</w:t>
            </w:r>
          </w:p>
        </w:tc>
        <w:tc>
          <w:tcPr>
            <w:tcW w:w="7433" w:type="dxa"/>
          </w:tcPr>
          <w:p w14:paraId="7F7F8F9C" w14:textId="77777777" w:rsidR="003A49D0" w:rsidRPr="00B96FFE" w:rsidRDefault="003A49D0" w:rsidP="00A30AD1">
            <w:pPr>
              <w:cnfStyle w:val="000000000000" w:firstRow="0" w:lastRow="0" w:firstColumn="0" w:lastColumn="0" w:oddVBand="0" w:evenVBand="0" w:oddHBand="0" w:evenHBand="0" w:firstRowFirstColumn="0" w:firstRowLastColumn="0" w:lastRowFirstColumn="0" w:lastRowLastColumn="0"/>
              <w:rPr>
                <w:color w:val="auto"/>
              </w:rPr>
            </w:pPr>
            <w:r w:rsidRPr="008536B5">
              <w:t xml:space="preserve">Patient identification - </w:t>
            </w:r>
            <w:r w:rsidRPr="008536B5">
              <w:rPr>
                <w:sz w:val="20"/>
                <w:szCs w:val="20"/>
              </w:rPr>
              <w:t>full name, date of birth and unique patient identifier (emergency or hospital number</w:t>
            </w:r>
            <w:r>
              <w:rPr>
                <w:sz w:val="20"/>
                <w:szCs w:val="20"/>
              </w:rPr>
              <w:t>)</w:t>
            </w:r>
            <w:r w:rsidRPr="008536B5">
              <w:t xml:space="preserve"> </w:t>
            </w:r>
          </w:p>
          <w:p w14:paraId="5BB55B11" w14:textId="77777777" w:rsidR="003A49D0" w:rsidRPr="00B96FFE" w:rsidRDefault="003A49D0" w:rsidP="00A30AD1">
            <w:pPr>
              <w:cnfStyle w:val="000000000000" w:firstRow="0" w:lastRow="0" w:firstColumn="0" w:lastColumn="0" w:oddVBand="0" w:evenVBand="0" w:oddHBand="0" w:evenHBand="0" w:firstRowFirstColumn="0" w:firstRowLastColumn="0" w:lastRowFirstColumn="0" w:lastRowLastColumn="0"/>
              <w:rPr>
                <w:color w:val="auto"/>
              </w:rPr>
            </w:pPr>
            <w:r w:rsidRPr="008536B5">
              <w:t>Is the patient on anticoagulants or anti-platelet medications?</w:t>
            </w:r>
          </w:p>
          <w:p w14:paraId="57737DB5" w14:textId="77777777" w:rsidR="003A49D0" w:rsidRPr="00B96FFE" w:rsidRDefault="003A49D0" w:rsidP="00A30AD1">
            <w:pPr>
              <w:cnfStyle w:val="000000000000" w:firstRow="0" w:lastRow="0" w:firstColumn="0" w:lastColumn="0" w:oddVBand="0" w:evenVBand="0" w:oddHBand="0" w:evenHBand="0" w:firstRowFirstColumn="0" w:firstRowLastColumn="0" w:lastRowFirstColumn="0" w:lastRowLastColumn="0"/>
              <w:rPr>
                <w:color w:val="auto"/>
              </w:rPr>
            </w:pPr>
            <w:r w:rsidRPr="008536B5">
              <w:t xml:space="preserve">Is </w:t>
            </w:r>
            <w:r>
              <w:t xml:space="preserve">prothrombin complex concentrate </w:t>
            </w:r>
            <w:r w:rsidRPr="008536B5">
              <w:t>needed?</w:t>
            </w:r>
          </w:p>
        </w:tc>
      </w:tr>
      <w:tr w:rsidR="003A49D0" w:rsidRPr="008536B5" w14:paraId="7D0D09C3" w14:textId="77777777" w:rsidTr="00A30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16C35C56" w14:textId="77777777" w:rsidR="003A49D0" w:rsidRPr="00B96FFE" w:rsidRDefault="003A49D0" w:rsidP="00A30AD1">
            <w:pPr>
              <w:rPr>
                <w:color w:val="auto"/>
              </w:rPr>
            </w:pPr>
            <w:r w:rsidRPr="008536B5">
              <w:rPr>
                <w:sz w:val="36"/>
                <w:szCs w:val="36"/>
              </w:rPr>
              <w:t>A</w:t>
            </w:r>
            <w:r w:rsidRPr="008536B5">
              <w:t>ssessment</w:t>
            </w:r>
          </w:p>
        </w:tc>
        <w:tc>
          <w:tcPr>
            <w:tcW w:w="7433" w:type="dxa"/>
          </w:tcPr>
          <w:p w14:paraId="5FB9FC33" w14:textId="77777777" w:rsidR="003A49D0" w:rsidRPr="00B96FFE" w:rsidRDefault="003A49D0" w:rsidP="00A30AD1">
            <w:pPr>
              <w:cnfStyle w:val="000000100000" w:firstRow="0" w:lastRow="0" w:firstColumn="0" w:lastColumn="0" w:oddVBand="0" w:evenVBand="0" w:oddHBand="1" w:evenHBand="0" w:firstRowFirstColumn="0" w:firstRowLastColumn="0" w:lastRowFirstColumn="0" w:lastRowLastColumn="0"/>
              <w:rPr>
                <w:color w:val="auto"/>
              </w:rPr>
            </w:pPr>
            <w:r w:rsidRPr="008536B5">
              <w:t>Has the patient received emergency blood pre</w:t>
            </w:r>
            <w:r>
              <w:t>-</w:t>
            </w:r>
            <w:r w:rsidRPr="008536B5">
              <w:t>hospital or in the clinical area</w:t>
            </w:r>
            <w:r>
              <w:t>?</w:t>
            </w:r>
          </w:p>
        </w:tc>
      </w:tr>
      <w:tr w:rsidR="003A49D0" w:rsidRPr="008536B5" w14:paraId="519C8912" w14:textId="77777777" w:rsidTr="00A30AD1">
        <w:tc>
          <w:tcPr>
            <w:cnfStyle w:val="001000000000" w:firstRow="0" w:lastRow="0" w:firstColumn="1" w:lastColumn="0" w:oddVBand="0" w:evenVBand="0" w:oddHBand="0" w:evenHBand="0" w:firstRowFirstColumn="0" w:firstRowLastColumn="0" w:lastRowFirstColumn="0" w:lastRowLastColumn="0"/>
            <w:tcW w:w="1809" w:type="dxa"/>
          </w:tcPr>
          <w:p w14:paraId="783C8ADA" w14:textId="77777777" w:rsidR="003A49D0" w:rsidRPr="00B96FFE" w:rsidRDefault="003A49D0" w:rsidP="00A30AD1">
            <w:pPr>
              <w:rPr>
                <w:color w:val="auto"/>
              </w:rPr>
            </w:pPr>
            <w:r w:rsidRPr="008536B5">
              <w:rPr>
                <w:sz w:val="36"/>
                <w:szCs w:val="36"/>
              </w:rPr>
              <w:t>R</w:t>
            </w:r>
            <w:r w:rsidRPr="008536B5">
              <w:t>ecommendation</w:t>
            </w:r>
          </w:p>
        </w:tc>
        <w:tc>
          <w:tcPr>
            <w:tcW w:w="7433" w:type="dxa"/>
          </w:tcPr>
          <w:p w14:paraId="45A7C7B4" w14:textId="77777777" w:rsidR="003A49D0" w:rsidRPr="00B96FFE" w:rsidRDefault="003A49D0" w:rsidP="00A30AD1">
            <w:pPr>
              <w:cnfStyle w:val="000000000000" w:firstRow="0" w:lastRow="0" w:firstColumn="0" w:lastColumn="0" w:oddVBand="0" w:evenVBand="0" w:oddHBand="0" w:evenHBand="0" w:firstRowFirstColumn="0" w:firstRowLastColumn="0" w:lastRowFirstColumn="0" w:lastRowLastColumn="0"/>
              <w:rPr>
                <w:color w:val="auto"/>
              </w:rPr>
            </w:pPr>
            <w:r w:rsidRPr="008536B5">
              <w:t>Timescale – degree of urgency – when are component needed</w:t>
            </w:r>
          </w:p>
          <w:p w14:paraId="50A51DA1" w14:textId="77777777" w:rsidR="003A49D0" w:rsidRPr="00B96FFE" w:rsidRDefault="003A49D0" w:rsidP="00A30AD1">
            <w:pPr>
              <w:cnfStyle w:val="000000000000" w:firstRow="0" w:lastRow="0" w:firstColumn="0" w:lastColumn="0" w:oddVBand="0" w:evenVBand="0" w:oddHBand="0" w:evenHBand="0" w:firstRowFirstColumn="0" w:firstRowLastColumn="0" w:lastRowFirstColumn="0" w:lastRowLastColumn="0"/>
              <w:rPr>
                <w:color w:val="auto"/>
              </w:rPr>
            </w:pPr>
            <w:r w:rsidRPr="008536B5">
              <w:t>If not using standard MHP provide clear instructions on components needed and why non-standard MHP</w:t>
            </w:r>
          </w:p>
          <w:p w14:paraId="696E9023" w14:textId="77777777" w:rsidR="003A49D0" w:rsidRPr="00B96FFE" w:rsidRDefault="003A49D0" w:rsidP="00A30AD1">
            <w:pPr>
              <w:cnfStyle w:val="000000000000" w:firstRow="0" w:lastRow="0" w:firstColumn="0" w:lastColumn="0" w:oddVBand="0" w:evenVBand="0" w:oddHBand="0" w:evenHBand="0" w:firstRowFirstColumn="0" w:firstRowLastColumn="0" w:lastRowFirstColumn="0" w:lastRowLastColumn="0"/>
              <w:rPr>
                <w:color w:val="auto"/>
              </w:rPr>
            </w:pPr>
            <w:r w:rsidRPr="008536B5">
              <w:t>Confirm clinical staff member in charge of communication (code red nurse)</w:t>
            </w:r>
          </w:p>
        </w:tc>
      </w:tr>
    </w:tbl>
    <w:p w14:paraId="7D436920" w14:textId="77777777" w:rsidR="003A49D0" w:rsidRPr="008536B5" w:rsidRDefault="003A49D0" w:rsidP="003A49D0">
      <w:r>
        <w:t>MHP, major haemorrhage protocol.</w:t>
      </w:r>
    </w:p>
    <w:p w14:paraId="1E24FEEB" w14:textId="77777777" w:rsidR="003A49D0" w:rsidRDefault="003A49D0" w:rsidP="003A49D0"/>
    <w:p w14:paraId="0C542E74" w14:textId="77777777" w:rsidR="003A49D0" w:rsidRDefault="003A49D0" w:rsidP="003A49D0"/>
    <w:p w14:paraId="1486CAA5" w14:textId="77777777" w:rsidR="003A49D0" w:rsidRPr="008536B5" w:rsidRDefault="003A49D0" w:rsidP="003A49D0"/>
    <w:p w14:paraId="1218DFC1" w14:textId="77777777" w:rsidR="003A49D0" w:rsidRPr="00F3162C" w:rsidRDefault="003A49D0" w:rsidP="003A49D0">
      <w:pPr>
        <w:spacing w:after="160" w:line="259" w:lineRule="auto"/>
        <w:rPr>
          <w:b/>
          <w:bCs/>
          <w:sz w:val="24"/>
          <w:szCs w:val="24"/>
        </w:rPr>
      </w:pPr>
      <w:r w:rsidRPr="00F3162C">
        <w:rPr>
          <w:b/>
          <w:bCs/>
          <w:sz w:val="24"/>
          <w:szCs w:val="24"/>
        </w:rPr>
        <w:t xml:space="preserve">Table </w:t>
      </w:r>
      <w:r>
        <w:rPr>
          <w:b/>
          <w:bCs/>
          <w:sz w:val="24"/>
          <w:szCs w:val="24"/>
        </w:rPr>
        <w:t>2</w:t>
      </w:r>
    </w:p>
    <w:p w14:paraId="12AC08E0" w14:textId="570B425E" w:rsidR="005863C0" w:rsidRPr="00AC425D" w:rsidRDefault="005863C0" w:rsidP="005863C0">
      <w:pPr>
        <w:spacing w:after="160" w:line="259" w:lineRule="auto"/>
      </w:pPr>
      <w:r w:rsidRPr="00AC425D">
        <w:t xml:space="preserve">Checklist and prompts for the </w:t>
      </w:r>
      <w:r>
        <w:t>laboratory</w:t>
      </w:r>
      <w:r w:rsidRPr="00AC425D">
        <w:t xml:space="preserve"> team </w:t>
      </w:r>
      <w:r>
        <w:t>in discussion with the clinical team</w:t>
      </w:r>
    </w:p>
    <w:p w14:paraId="5F4CB159" w14:textId="77777777" w:rsidR="003A49D0" w:rsidRPr="008536B5" w:rsidRDefault="003A49D0" w:rsidP="003A49D0"/>
    <w:tbl>
      <w:tblPr>
        <w:tblStyle w:val="ListTable6ColorfulAccent2"/>
        <w:tblW w:w="0" w:type="auto"/>
        <w:tblLook w:val="04A0" w:firstRow="1" w:lastRow="0" w:firstColumn="1" w:lastColumn="0" w:noHBand="0" w:noVBand="1"/>
      </w:tblPr>
      <w:tblGrid>
        <w:gridCol w:w="2163"/>
        <w:gridCol w:w="6863"/>
      </w:tblGrid>
      <w:tr w:rsidR="003A49D0" w:rsidRPr="008536B5" w14:paraId="5AE22CE4" w14:textId="77777777" w:rsidTr="00A30A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2"/>
          </w:tcPr>
          <w:p w14:paraId="1C3C930D" w14:textId="77777777" w:rsidR="003A49D0" w:rsidRPr="00B96FFE" w:rsidRDefault="003A49D0" w:rsidP="00A30AD1">
            <w:pPr>
              <w:rPr>
                <w:color w:val="auto"/>
              </w:rPr>
            </w:pPr>
            <w:r w:rsidRPr="008536B5">
              <w:t>Laboratory SBAR checklist for Massive Haemorrhage phone call</w:t>
            </w:r>
          </w:p>
        </w:tc>
      </w:tr>
      <w:tr w:rsidR="003A49D0" w:rsidRPr="008536B5" w14:paraId="0EF62ECC" w14:textId="77777777" w:rsidTr="00A30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3" w:type="dxa"/>
          </w:tcPr>
          <w:p w14:paraId="31E1187F" w14:textId="77777777" w:rsidR="003A49D0" w:rsidRPr="00B96FFE" w:rsidRDefault="003A49D0" w:rsidP="00A30AD1">
            <w:pPr>
              <w:rPr>
                <w:color w:val="auto"/>
              </w:rPr>
            </w:pPr>
            <w:r w:rsidRPr="008536B5">
              <w:rPr>
                <w:sz w:val="36"/>
                <w:szCs w:val="36"/>
              </w:rPr>
              <w:t>S</w:t>
            </w:r>
            <w:r w:rsidRPr="008536B5">
              <w:t>ituation</w:t>
            </w:r>
          </w:p>
        </w:tc>
        <w:tc>
          <w:tcPr>
            <w:tcW w:w="6863" w:type="dxa"/>
          </w:tcPr>
          <w:p w14:paraId="237588AB" w14:textId="77777777" w:rsidR="003A49D0" w:rsidRPr="00B96FFE" w:rsidRDefault="003A49D0" w:rsidP="00A30AD1">
            <w:pPr>
              <w:cnfStyle w:val="000000100000" w:firstRow="0" w:lastRow="0" w:firstColumn="0" w:lastColumn="0" w:oddVBand="0" w:evenVBand="0" w:oddHBand="1" w:evenHBand="0" w:firstRowFirstColumn="0" w:firstRowLastColumn="0" w:lastRowFirstColumn="0" w:lastRowLastColumn="0"/>
              <w:rPr>
                <w:color w:val="auto"/>
              </w:rPr>
            </w:pPr>
            <w:r w:rsidRPr="008536B5">
              <w:t>Introduction – your name as laboratory lead for the MHP</w:t>
            </w:r>
          </w:p>
          <w:p w14:paraId="6F08DB5D" w14:textId="1CB72EC0" w:rsidR="003A49D0" w:rsidRPr="00B96FFE" w:rsidRDefault="003A49D0" w:rsidP="00A30AD1">
            <w:pPr>
              <w:cnfStyle w:val="000000100000" w:firstRow="0" w:lastRow="0" w:firstColumn="0" w:lastColumn="0" w:oddVBand="0" w:evenVBand="0" w:oddHBand="1" w:evenHBand="0" w:firstRowFirstColumn="0" w:firstRowLastColumn="0" w:lastRowFirstColumn="0" w:lastRowLastColumn="0"/>
              <w:rPr>
                <w:color w:val="auto"/>
              </w:rPr>
            </w:pPr>
            <w:r w:rsidRPr="008536B5">
              <w:t xml:space="preserve">Communicate relevant information from the blood bank that may impact the MHP </w:t>
            </w:r>
            <w:r w:rsidR="00D84303" w:rsidRPr="008536B5">
              <w:t>e.g.,</w:t>
            </w:r>
            <w:r w:rsidRPr="008536B5">
              <w:t xml:space="preserve"> 3 concurrent MHP activations, in</w:t>
            </w:r>
            <w:r>
              <w:t xml:space="preserve"> </w:t>
            </w:r>
            <w:r w:rsidRPr="008536B5">
              <w:t>contingency mode</w:t>
            </w:r>
          </w:p>
          <w:p w14:paraId="41D4776C" w14:textId="77777777" w:rsidR="003A49D0" w:rsidRPr="00B96FFE" w:rsidRDefault="003A49D0" w:rsidP="00A30AD1">
            <w:pPr>
              <w:cnfStyle w:val="000000100000" w:firstRow="0" w:lastRow="0" w:firstColumn="0" w:lastColumn="0" w:oddVBand="0" w:evenVBand="0" w:oddHBand="1" w:evenHBand="0" w:firstRowFirstColumn="0" w:firstRowLastColumn="0" w:lastRowFirstColumn="0" w:lastRowLastColumn="0"/>
              <w:rPr>
                <w:color w:val="auto"/>
              </w:rPr>
            </w:pPr>
          </w:p>
        </w:tc>
      </w:tr>
      <w:tr w:rsidR="003A49D0" w:rsidRPr="008536B5" w14:paraId="66369A6A" w14:textId="77777777" w:rsidTr="00A30AD1">
        <w:tc>
          <w:tcPr>
            <w:cnfStyle w:val="001000000000" w:firstRow="0" w:lastRow="0" w:firstColumn="1" w:lastColumn="0" w:oddVBand="0" w:evenVBand="0" w:oddHBand="0" w:evenHBand="0" w:firstRowFirstColumn="0" w:firstRowLastColumn="0" w:lastRowFirstColumn="0" w:lastRowLastColumn="0"/>
            <w:tcW w:w="2163" w:type="dxa"/>
          </w:tcPr>
          <w:p w14:paraId="156E034E" w14:textId="77777777" w:rsidR="003A49D0" w:rsidRPr="00B96FFE" w:rsidRDefault="003A49D0" w:rsidP="00A30AD1">
            <w:pPr>
              <w:rPr>
                <w:color w:val="auto"/>
              </w:rPr>
            </w:pPr>
            <w:r w:rsidRPr="008536B5">
              <w:rPr>
                <w:sz w:val="36"/>
                <w:szCs w:val="36"/>
              </w:rPr>
              <w:t>B</w:t>
            </w:r>
            <w:r w:rsidRPr="008536B5">
              <w:t>ackground</w:t>
            </w:r>
          </w:p>
        </w:tc>
        <w:tc>
          <w:tcPr>
            <w:tcW w:w="6863" w:type="dxa"/>
          </w:tcPr>
          <w:p w14:paraId="38818DD8" w14:textId="519036FF" w:rsidR="003A49D0" w:rsidRPr="00B96FFE" w:rsidRDefault="003A49D0" w:rsidP="00A30AD1">
            <w:pPr>
              <w:cnfStyle w:val="000000000000" w:firstRow="0" w:lastRow="0" w:firstColumn="0" w:lastColumn="0" w:oddVBand="0" w:evenVBand="0" w:oddHBand="0" w:evenHBand="0" w:firstRowFirstColumn="0" w:firstRowLastColumn="0" w:lastRowFirstColumn="0" w:lastRowLastColumn="0"/>
              <w:rPr>
                <w:color w:val="auto"/>
              </w:rPr>
            </w:pPr>
            <w:r w:rsidRPr="008536B5">
              <w:t>Confirm patient identification and location plus likelihood of moving (</w:t>
            </w:r>
            <w:r w:rsidR="00D84303" w:rsidRPr="008536B5">
              <w:t>e</w:t>
            </w:r>
            <w:r w:rsidR="00D84303">
              <w:t>.</w:t>
            </w:r>
            <w:r w:rsidR="00D84303" w:rsidRPr="008536B5">
              <w:t>g</w:t>
            </w:r>
            <w:r w:rsidR="00D84303">
              <w:t>.,</w:t>
            </w:r>
            <w:r w:rsidRPr="008536B5">
              <w:t xml:space="preserve"> to theatre)</w:t>
            </w:r>
          </w:p>
          <w:p w14:paraId="5D2B6E62" w14:textId="77777777" w:rsidR="003A49D0" w:rsidRPr="00B96FFE" w:rsidRDefault="003A49D0" w:rsidP="00A30AD1">
            <w:pPr>
              <w:cnfStyle w:val="000000000000" w:firstRow="0" w:lastRow="0" w:firstColumn="0" w:lastColumn="0" w:oddVBand="0" w:evenVBand="0" w:oddHBand="0" w:evenHBand="0" w:firstRowFirstColumn="0" w:firstRowLastColumn="0" w:lastRowFirstColumn="0" w:lastRowLastColumn="0"/>
              <w:rPr>
                <w:color w:val="auto"/>
              </w:rPr>
            </w:pPr>
            <w:r w:rsidRPr="008536B5">
              <w:t xml:space="preserve">Confirm clinical team know where emergency group O red cells are available </w:t>
            </w:r>
          </w:p>
        </w:tc>
      </w:tr>
      <w:tr w:rsidR="003A49D0" w:rsidRPr="008536B5" w14:paraId="230302F0" w14:textId="77777777" w:rsidTr="00A30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3" w:type="dxa"/>
          </w:tcPr>
          <w:p w14:paraId="57CEB52A" w14:textId="77777777" w:rsidR="003A49D0" w:rsidRPr="00B96FFE" w:rsidRDefault="003A49D0" w:rsidP="00A30AD1">
            <w:pPr>
              <w:rPr>
                <w:color w:val="auto"/>
              </w:rPr>
            </w:pPr>
            <w:r w:rsidRPr="008536B5">
              <w:rPr>
                <w:sz w:val="36"/>
                <w:szCs w:val="36"/>
              </w:rPr>
              <w:t>A</w:t>
            </w:r>
            <w:r w:rsidRPr="008536B5">
              <w:t>ssessment</w:t>
            </w:r>
          </w:p>
        </w:tc>
        <w:tc>
          <w:tcPr>
            <w:tcW w:w="6863" w:type="dxa"/>
          </w:tcPr>
          <w:p w14:paraId="3008F23D" w14:textId="77777777" w:rsidR="003A49D0" w:rsidRPr="00B96FFE" w:rsidRDefault="003A49D0" w:rsidP="00A30AD1">
            <w:pPr>
              <w:cnfStyle w:val="000000100000" w:firstRow="0" w:lastRow="0" w:firstColumn="0" w:lastColumn="0" w:oddVBand="0" w:evenVBand="0" w:oddHBand="1" w:evenHBand="0" w:firstRowFirstColumn="0" w:firstRowLastColumn="0" w:lastRowFirstColumn="0" w:lastRowLastColumn="0"/>
              <w:rPr>
                <w:color w:val="auto"/>
              </w:rPr>
            </w:pPr>
            <w:r w:rsidRPr="008536B5">
              <w:t>Has the patient had emergency group O RBC?</w:t>
            </w:r>
          </w:p>
          <w:p w14:paraId="6241C9CD" w14:textId="77777777" w:rsidR="003A49D0" w:rsidRPr="00B96FFE" w:rsidRDefault="003A49D0" w:rsidP="00A30AD1">
            <w:pPr>
              <w:cnfStyle w:val="000000100000" w:firstRow="0" w:lastRow="0" w:firstColumn="0" w:lastColumn="0" w:oddVBand="0" w:evenVBand="0" w:oddHBand="1" w:evenHBand="0" w:firstRowFirstColumn="0" w:firstRowLastColumn="0" w:lastRowFirstColumn="0" w:lastRowLastColumn="0"/>
              <w:rPr>
                <w:color w:val="auto"/>
              </w:rPr>
            </w:pPr>
            <w:r w:rsidRPr="008536B5">
              <w:t xml:space="preserve">From which fridge? </w:t>
            </w:r>
          </w:p>
          <w:p w14:paraId="10E7ADCB" w14:textId="77777777" w:rsidR="003A49D0" w:rsidRPr="00B96FFE" w:rsidRDefault="003A49D0" w:rsidP="00A30AD1">
            <w:pPr>
              <w:cnfStyle w:val="000000100000" w:firstRow="0" w:lastRow="0" w:firstColumn="0" w:lastColumn="0" w:oddVBand="0" w:evenVBand="0" w:oddHBand="1" w:evenHBand="0" w:firstRowFirstColumn="0" w:firstRowLastColumn="0" w:lastRowFirstColumn="0" w:lastRowLastColumn="0"/>
              <w:rPr>
                <w:color w:val="auto"/>
              </w:rPr>
            </w:pPr>
            <w:r w:rsidRPr="008536B5">
              <w:t>Check patient history – is there a group and screen available – is there any transfusion history</w:t>
            </w:r>
          </w:p>
        </w:tc>
      </w:tr>
      <w:tr w:rsidR="003A49D0" w:rsidRPr="008536B5" w14:paraId="409C732E" w14:textId="77777777" w:rsidTr="00A30AD1">
        <w:tc>
          <w:tcPr>
            <w:cnfStyle w:val="001000000000" w:firstRow="0" w:lastRow="0" w:firstColumn="1" w:lastColumn="0" w:oddVBand="0" w:evenVBand="0" w:oddHBand="0" w:evenHBand="0" w:firstRowFirstColumn="0" w:firstRowLastColumn="0" w:lastRowFirstColumn="0" w:lastRowLastColumn="0"/>
            <w:tcW w:w="2163" w:type="dxa"/>
          </w:tcPr>
          <w:p w14:paraId="459481E3" w14:textId="77777777" w:rsidR="003A49D0" w:rsidRPr="00B96FFE" w:rsidRDefault="003A49D0" w:rsidP="00A30AD1">
            <w:pPr>
              <w:rPr>
                <w:color w:val="auto"/>
              </w:rPr>
            </w:pPr>
            <w:r w:rsidRPr="008536B5">
              <w:rPr>
                <w:sz w:val="36"/>
                <w:szCs w:val="36"/>
              </w:rPr>
              <w:t>R</w:t>
            </w:r>
            <w:r w:rsidRPr="008536B5">
              <w:t>ecommendation</w:t>
            </w:r>
          </w:p>
        </w:tc>
        <w:tc>
          <w:tcPr>
            <w:tcW w:w="6863" w:type="dxa"/>
          </w:tcPr>
          <w:p w14:paraId="6D47ACFD" w14:textId="77777777" w:rsidR="003A49D0" w:rsidRPr="00B96FFE" w:rsidRDefault="003A49D0" w:rsidP="00A30AD1">
            <w:pPr>
              <w:cnfStyle w:val="000000000000" w:firstRow="0" w:lastRow="0" w:firstColumn="0" w:lastColumn="0" w:oddVBand="0" w:evenVBand="0" w:oddHBand="0" w:evenHBand="0" w:firstRowFirstColumn="0" w:firstRowLastColumn="0" w:lastRowFirstColumn="0" w:lastRowLastColumn="0"/>
              <w:rPr>
                <w:color w:val="auto"/>
              </w:rPr>
            </w:pPr>
            <w:r w:rsidRPr="008536B5">
              <w:t>Confirm MH pack content or components agreed if non-standard MHP</w:t>
            </w:r>
          </w:p>
          <w:p w14:paraId="71C469B5" w14:textId="77777777" w:rsidR="003A49D0" w:rsidRPr="00B96FFE" w:rsidRDefault="003A49D0" w:rsidP="00A30AD1">
            <w:pPr>
              <w:cnfStyle w:val="000000000000" w:firstRow="0" w:lastRow="0" w:firstColumn="0" w:lastColumn="0" w:oddVBand="0" w:evenVBand="0" w:oddHBand="0" w:evenHBand="0" w:firstRowFirstColumn="0" w:firstRowLastColumn="0" w:lastRowFirstColumn="0" w:lastRowLastColumn="0"/>
              <w:rPr>
                <w:color w:val="auto"/>
              </w:rPr>
            </w:pPr>
            <w:r w:rsidRPr="008536B5">
              <w:t xml:space="preserve">Agree timescale for component provision (15 mins, 30 mins, 1 hr) </w:t>
            </w:r>
          </w:p>
          <w:p w14:paraId="17183214" w14:textId="77777777" w:rsidR="003A49D0" w:rsidRPr="00B96FFE" w:rsidRDefault="003A49D0" w:rsidP="00A30AD1">
            <w:pPr>
              <w:cnfStyle w:val="000000000000" w:firstRow="0" w:lastRow="0" w:firstColumn="0" w:lastColumn="0" w:oddVBand="0" w:evenVBand="0" w:oddHBand="0" w:evenHBand="0" w:firstRowFirstColumn="0" w:firstRowLastColumn="0" w:lastRowFirstColumn="0" w:lastRowLastColumn="0"/>
              <w:rPr>
                <w:color w:val="auto"/>
              </w:rPr>
            </w:pPr>
            <w:r w:rsidRPr="008536B5">
              <w:t>Emergency blood in the fridge will be replaced – agree timescale</w:t>
            </w:r>
          </w:p>
          <w:p w14:paraId="1645DD58" w14:textId="77777777" w:rsidR="003A49D0" w:rsidRPr="00B96FFE" w:rsidRDefault="003A49D0" w:rsidP="00A30AD1">
            <w:pPr>
              <w:cnfStyle w:val="000000000000" w:firstRow="0" w:lastRow="0" w:firstColumn="0" w:lastColumn="0" w:oddVBand="0" w:evenVBand="0" w:oddHBand="0" w:evenHBand="0" w:firstRowFirstColumn="0" w:firstRowLastColumn="0" w:lastRowFirstColumn="0" w:lastRowLastColumn="0"/>
              <w:rPr>
                <w:color w:val="auto"/>
              </w:rPr>
            </w:pPr>
            <w:r w:rsidRPr="008536B5">
              <w:t>Confirm contact details of clinical lead</w:t>
            </w:r>
          </w:p>
          <w:p w14:paraId="114935AA" w14:textId="77777777" w:rsidR="003A49D0" w:rsidRPr="00B96FFE" w:rsidRDefault="003A49D0" w:rsidP="00A30AD1">
            <w:pPr>
              <w:cnfStyle w:val="000000000000" w:firstRow="0" w:lastRow="0" w:firstColumn="0" w:lastColumn="0" w:oddVBand="0" w:evenVBand="0" w:oddHBand="0" w:evenHBand="0" w:firstRowFirstColumn="0" w:firstRowLastColumn="0" w:lastRowFirstColumn="0" w:lastRowLastColumn="0"/>
              <w:rPr>
                <w:color w:val="auto"/>
              </w:rPr>
            </w:pPr>
            <w:r w:rsidRPr="008536B5">
              <w:t xml:space="preserve">Offer contact information for consultant </w:t>
            </w:r>
            <w:r>
              <w:t>h</w:t>
            </w:r>
            <w:r w:rsidRPr="008536B5">
              <w:t>aematologist</w:t>
            </w:r>
          </w:p>
        </w:tc>
      </w:tr>
    </w:tbl>
    <w:p w14:paraId="4CFB7CEF" w14:textId="77777777" w:rsidR="003A49D0" w:rsidRPr="008536B5" w:rsidRDefault="003A49D0" w:rsidP="003A49D0">
      <w:r>
        <w:t>MH, major haemorrhage; MHP, major haemorrhage protocol.</w:t>
      </w:r>
    </w:p>
    <w:p w14:paraId="21E9C0FA" w14:textId="77777777" w:rsidR="003A49D0" w:rsidRDefault="003A49D0" w:rsidP="003A49D0">
      <w:pPr>
        <w:spacing w:line="480" w:lineRule="auto"/>
        <w:ind w:left="360"/>
        <w:rPr>
          <w:b/>
          <w:bCs/>
          <w:sz w:val="24"/>
          <w:szCs w:val="24"/>
        </w:rPr>
      </w:pPr>
    </w:p>
    <w:p w14:paraId="1F6B9F30" w14:textId="77777777" w:rsidR="003A49D0" w:rsidRDefault="003A49D0" w:rsidP="003A49D0">
      <w:pPr>
        <w:spacing w:line="480" w:lineRule="auto"/>
        <w:ind w:left="360"/>
        <w:rPr>
          <w:b/>
          <w:bCs/>
          <w:sz w:val="24"/>
          <w:szCs w:val="24"/>
        </w:rPr>
      </w:pPr>
    </w:p>
    <w:p w14:paraId="2E887C25" w14:textId="77777777" w:rsidR="000C30D2" w:rsidRDefault="000C30D2" w:rsidP="000C30D2"/>
    <w:p w14:paraId="450F6B36" w14:textId="7214A3C2" w:rsidR="000C30D2" w:rsidRPr="001E5A1F" w:rsidRDefault="000C30D2" w:rsidP="000C30D2">
      <w:pPr>
        <w:rPr>
          <w:b/>
          <w:bCs/>
        </w:rPr>
      </w:pPr>
      <w:r w:rsidRPr="001E5A1F">
        <w:rPr>
          <w:b/>
          <w:bCs/>
        </w:rPr>
        <w:t xml:space="preserve">Table </w:t>
      </w:r>
      <w:r w:rsidR="00B241AB">
        <w:rPr>
          <w:b/>
          <w:bCs/>
        </w:rPr>
        <w:t>3</w:t>
      </w:r>
      <w:r w:rsidRPr="001E5A1F">
        <w:rPr>
          <w:b/>
          <w:bCs/>
        </w:rPr>
        <w:t>. An example of visco-elasti</w:t>
      </w:r>
      <w:r>
        <w:rPr>
          <w:b/>
          <w:bCs/>
        </w:rPr>
        <w:t>c</w:t>
      </w:r>
      <w:r w:rsidRPr="001E5A1F">
        <w:rPr>
          <w:b/>
          <w:bCs/>
        </w:rPr>
        <w:t xml:space="preserve"> thresholds used as a transfusion algorithm in trauma, as </w:t>
      </w:r>
      <w:r>
        <w:rPr>
          <w:b/>
          <w:bCs/>
        </w:rPr>
        <w:t>developed, validated, and tested</w:t>
      </w:r>
      <w:r w:rsidRPr="001E5A1F">
        <w:rPr>
          <w:b/>
          <w:bCs/>
        </w:rPr>
        <w:t xml:space="preserve"> in the iTACTIC trial </w:t>
      </w:r>
    </w:p>
    <w:p w14:paraId="7B90D34D" w14:textId="77777777" w:rsidR="000C30D2" w:rsidRDefault="000C30D2" w:rsidP="000C30D2">
      <w:pPr>
        <w:rPr>
          <w:rFonts w:asciiTheme="minorHAnsi" w:hAnsiTheme="minorHAnsi" w:cstheme="minorBidi"/>
        </w:rPr>
      </w:pPr>
    </w:p>
    <w:p w14:paraId="7E072542" w14:textId="77777777" w:rsidR="000C30D2" w:rsidRDefault="000C30D2" w:rsidP="000C30D2"/>
    <w:tbl>
      <w:tblPr>
        <w:tblStyle w:val="TableGrid"/>
        <w:tblW w:w="0" w:type="auto"/>
        <w:tblLook w:val="04A0" w:firstRow="1" w:lastRow="0" w:firstColumn="1" w:lastColumn="0" w:noHBand="0" w:noVBand="1"/>
      </w:tblPr>
      <w:tblGrid>
        <w:gridCol w:w="3080"/>
        <w:gridCol w:w="3081"/>
        <w:gridCol w:w="3081"/>
      </w:tblGrid>
      <w:tr w:rsidR="000C30D2" w14:paraId="02706930" w14:textId="77777777" w:rsidTr="00DC20F5">
        <w:tc>
          <w:tcPr>
            <w:tcW w:w="3080" w:type="dxa"/>
            <w:tcBorders>
              <w:top w:val="single" w:sz="4" w:space="0" w:color="auto"/>
              <w:left w:val="single" w:sz="4" w:space="0" w:color="auto"/>
              <w:bottom w:val="single" w:sz="4" w:space="0" w:color="auto"/>
              <w:right w:val="single" w:sz="4" w:space="0" w:color="auto"/>
            </w:tcBorders>
          </w:tcPr>
          <w:p w14:paraId="732D5194" w14:textId="77777777" w:rsidR="000C30D2" w:rsidRDefault="000C30D2" w:rsidP="00DC20F5"/>
        </w:tc>
        <w:tc>
          <w:tcPr>
            <w:tcW w:w="6162" w:type="dxa"/>
            <w:gridSpan w:val="2"/>
            <w:tcBorders>
              <w:top w:val="single" w:sz="4" w:space="0" w:color="auto"/>
              <w:left w:val="single" w:sz="4" w:space="0" w:color="auto"/>
              <w:bottom w:val="single" w:sz="4" w:space="0" w:color="auto"/>
              <w:right w:val="single" w:sz="4" w:space="0" w:color="auto"/>
            </w:tcBorders>
            <w:hideMark/>
          </w:tcPr>
          <w:p w14:paraId="2C9F9DAB" w14:textId="77777777" w:rsidR="000C30D2" w:rsidRDefault="000C30D2" w:rsidP="00DC20F5">
            <w:pPr>
              <w:jc w:val="center"/>
              <w:rPr>
                <w:b/>
              </w:rPr>
            </w:pPr>
            <w:r>
              <w:rPr>
                <w:b/>
              </w:rPr>
              <w:t>Suggested thresholds for therapy</w:t>
            </w:r>
          </w:p>
        </w:tc>
      </w:tr>
      <w:tr w:rsidR="000C30D2" w14:paraId="67F144E5" w14:textId="77777777" w:rsidTr="00DC20F5">
        <w:tc>
          <w:tcPr>
            <w:tcW w:w="3080" w:type="dxa"/>
            <w:tcBorders>
              <w:top w:val="single" w:sz="4" w:space="0" w:color="auto"/>
              <w:left w:val="single" w:sz="4" w:space="0" w:color="auto"/>
              <w:bottom w:val="single" w:sz="4" w:space="0" w:color="auto"/>
              <w:right w:val="single" w:sz="4" w:space="0" w:color="auto"/>
            </w:tcBorders>
            <w:hideMark/>
          </w:tcPr>
          <w:p w14:paraId="2D801587" w14:textId="77777777" w:rsidR="000C30D2" w:rsidRDefault="000C30D2" w:rsidP="00DC20F5">
            <w:pPr>
              <w:rPr>
                <w:b/>
                <w:i/>
              </w:rPr>
            </w:pPr>
            <w:r>
              <w:rPr>
                <w:b/>
                <w:i/>
              </w:rPr>
              <w:t>Treatment</w:t>
            </w:r>
          </w:p>
        </w:tc>
        <w:tc>
          <w:tcPr>
            <w:tcW w:w="3081" w:type="dxa"/>
            <w:tcBorders>
              <w:top w:val="single" w:sz="4" w:space="0" w:color="auto"/>
              <w:left w:val="single" w:sz="4" w:space="0" w:color="auto"/>
              <w:bottom w:val="single" w:sz="4" w:space="0" w:color="auto"/>
              <w:right w:val="single" w:sz="4" w:space="0" w:color="auto"/>
            </w:tcBorders>
            <w:hideMark/>
          </w:tcPr>
          <w:p w14:paraId="25C6B3A3" w14:textId="77777777" w:rsidR="000C30D2" w:rsidRDefault="000C30D2" w:rsidP="00DC20F5">
            <w:pPr>
              <w:jc w:val="center"/>
              <w:rPr>
                <w:b/>
              </w:rPr>
            </w:pPr>
            <w:r>
              <w:rPr>
                <w:b/>
              </w:rPr>
              <w:t>TEG</w:t>
            </w:r>
          </w:p>
        </w:tc>
        <w:tc>
          <w:tcPr>
            <w:tcW w:w="3081" w:type="dxa"/>
            <w:tcBorders>
              <w:top w:val="single" w:sz="4" w:space="0" w:color="auto"/>
              <w:left w:val="single" w:sz="4" w:space="0" w:color="auto"/>
              <w:bottom w:val="single" w:sz="4" w:space="0" w:color="auto"/>
              <w:right w:val="single" w:sz="4" w:space="0" w:color="auto"/>
            </w:tcBorders>
            <w:hideMark/>
          </w:tcPr>
          <w:p w14:paraId="52E64BA8" w14:textId="77777777" w:rsidR="000C30D2" w:rsidRDefault="000C30D2" w:rsidP="00DC20F5">
            <w:pPr>
              <w:jc w:val="center"/>
              <w:rPr>
                <w:b/>
              </w:rPr>
            </w:pPr>
            <w:r>
              <w:rPr>
                <w:b/>
              </w:rPr>
              <w:t>ROTEM</w:t>
            </w:r>
          </w:p>
        </w:tc>
      </w:tr>
      <w:tr w:rsidR="000C30D2" w14:paraId="66CCDB86" w14:textId="77777777" w:rsidTr="00DC20F5">
        <w:tc>
          <w:tcPr>
            <w:tcW w:w="3080" w:type="dxa"/>
            <w:tcBorders>
              <w:top w:val="single" w:sz="4" w:space="0" w:color="auto"/>
              <w:left w:val="single" w:sz="4" w:space="0" w:color="auto"/>
              <w:bottom w:val="single" w:sz="4" w:space="0" w:color="auto"/>
              <w:right w:val="single" w:sz="4" w:space="0" w:color="auto"/>
            </w:tcBorders>
          </w:tcPr>
          <w:p w14:paraId="2DECEF5E" w14:textId="77777777" w:rsidR="000C30D2" w:rsidRDefault="000C30D2" w:rsidP="00DC20F5"/>
          <w:p w14:paraId="75A7AB62" w14:textId="77777777" w:rsidR="000C30D2" w:rsidRDefault="000C30D2" w:rsidP="00DC20F5">
            <w:r>
              <w:t>2 pools cryoprecipitate (equivalent to 4g fibrinogen replacement)</w:t>
            </w:r>
          </w:p>
          <w:p w14:paraId="3C66BE52" w14:textId="77777777" w:rsidR="000C30D2" w:rsidRDefault="000C30D2" w:rsidP="00DC20F5"/>
        </w:tc>
        <w:tc>
          <w:tcPr>
            <w:tcW w:w="3081" w:type="dxa"/>
            <w:tcBorders>
              <w:top w:val="single" w:sz="4" w:space="0" w:color="auto"/>
              <w:left w:val="single" w:sz="4" w:space="0" w:color="auto"/>
              <w:bottom w:val="single" w:sz="4" w:space="0" w:color="auto"/>
              <w:right w:val="single" w:sz="4" w:space="0" w:color="auto"/>
            </w:tcBorders>
          </w:tcPr>
          <w:p w14:paraId="4CA02309" w14:textId="77777777" w:rsidR="000C30D2" w:rsidRDefault="000C30D2" w:rsidP="00DC20F5">
            <w:pPr>
              <w:jc w:val="center"/>
            </w:pPr>
          </w:p>
          <w:p w14:paraId="366CE28B" w14:textId="77777777" w:rsidR="000C30D2" w:rsidRDefault="000C30D2" w:rsidP="00DC20F5">
            <w:pPr>
              <w:jc w:val="center"/>
            </w:pPr>
          </w:p>
          <w:p w14:paraId="0A3BB2E9" w14:textId="77777777" w:rsidR="000C30D2" w:rsidRDefault="000C30D2" w:rsidP="00DC20F5">
            <w:pPr>
              <w:jc w:val="center"/>
            </w:pPr>
            <w:r>
              <w:t>FF TEG MA &lt; 20 mm</w:t>
            </w:r>
          </w:p>
        </w:tc>
        <w:tc>
          <w:tcPr>
            <w:tcW w:w="3081" w:type="dxa"/>
            <w:tcBorders>
              <w:top w:val="single" w:sz="4" w:space="0" w:color="auto"/>
              <w:left w:val="single" w:sz="4" w:space="0" w:color="auto"/>
              <w:bottom w:val="single" w:sz="4" w:space="0" w:color="auto"/>
              <w:right w:val="single" w:sz="4" w:space="0" w:color="auto"/>
            </w:tcBorders>
          </w:tcPr>
          <w:p w14:paraId="2F4B41E7" w14:textId="77777777" w:rsidR="000C30D2" w:rsidRDefault="000C30D2" w:rsidP="00DC20F5">
            <w:pPr>
              <w:jc w:val="center"/>
            </w:pPr>
          </w:p>
          <w:p w14:paraId="752C09AA" w14:textId="77777777" w:rsidR="000C30D2" w:rsidRDefault="000C30D2" w:rsidP="00DC20F5">
            <w:pPr>
              <w:jc w:val="center"/>
            </w:pPr>
          </w:p>
          <w:p w14:paraId="357BBB4A" w14:textId="77777777" w:rsidR="000C30D2" w:rsidRDefault="000C30D2" w:rsidP="00DC20F5">
            <w:pPr>
              <w:jc w:val="center"/>
            </w:pPr>
            <w:r>
              <w:t>FIBTEM CA5 &lt; 10 mm</w:t>
            </w:r>
          </w:p>
        </w:tc>
      </w:tr>
      <w:tr w:rsidR="000C30D2" w14:paraId="4BA64B18" w14:textId="77777777" w:rsidTr="00DC20F5">
        <w:tc>
          <w:tcPr>
            <w:tcW w:w="3080" w:type="dxa"/>
            <w:tcBorders>
              <w:top w:val="single" w:sz="4" w:space="0" w:color="auto"/>
              <w:left w:val="single" w:sz="4" w:space="0" w:color="auto"/>
              <w:bottom w:val="single" w:sz="4" w:space="0" w:color="auto"/>
              <w:right w:val="single" w:sz="4" w:space="0" w:color="auto"/>
            </w:tcBorders>
          </w:tcPr>
          <w:p w14:paraId="5C0E951F" w14:textId="77777777" w:rsidR="000C30D2" w:rsidRDefault="000C30D2" w:rsidP="00DC20F5"/>
          <w:p w14:paraId="367BA040" w14:textId="77777777" w:rsidR="000C30D2" w:rsidRDefault="000C30D2" w:rsidP="00DC20F5">
            <w:r>
              <w:t>1 pool platelets</w:t>
            </w:r>
          </w:p>
          <w:p w14:paraId="3FBF96DC" w14:textId="77777777" w:rsidR="000C30D2" w:rsidRDefault="000C30D2" w:rsidP="00DC20F5"/>
        </w:tc>
        <w:tc>
          <w:tcPr>
            <w:tcW w:w="3081" w:type="dxa"/>
            <w:tcBorders>
              <w:top w:val="single" w:sz="4" w:space="0" w:color="auto"/>
              <w:left w:val="single" w:sz="4" w:space="0" w:color="auto"/>
              <w:bottom w:val="single" w:sz="4" w:space="0" w:color="auto"/>
              <w:right w:val="single" w:sz="4" w:space="0" w:color="auto"/>
            </w:tcBorders>
          </w:tcPr>
          <w:p w14:paraId="340B4712" w14:textId="77777777" w:rsidR="000C30D2" w:rsidRDefault="000C30D2" w:rsidP="00DC20F5">
            <w:pPr>
              <w:jc w:val="center"/>
            </w:pPr>
          </w:p>
          <w:p w14:paraId="2FB24C84" w14:textId="77777777" w:rsidR="000C30D2" w:rsidRDefault="000C30D2" w:rsidP="00DC20F5">
            <w:pPr>
              <w:jc w:val="center"/>
            </w:pPr>
            <w:r>
              <w:t>rTEG MA – FF TEG MA &lt; 45 mm</w:t>
            </w:r>
          </w:p>
        </w:tc>
        <w:tc>
          <w:tcPr>
            <w:tcW w:w="3081" w:type="dxa"/>
            <w:tcBorders>
              <w:top w:val="single" w:sz="4" w:space="0" w:color="auto"/>
              <w:left w:val="single" w:sz="4" w:space="0" w:color="auto"/>
              <w:bottom w:val="single" w:sz="4" w:space="0" w:color="auto"/>
              <w:right w:val="single" w:sz="4" w:space="0" w:color="auto"/>
            </w:tcBorders>
          </w:tcPr>
          <w:p w14:paraId="662E28A9" w14:textId="77777777" w:rsidR="000C30D2" w:rsidRDefault="000C30D2" w:rsidP="00DC20F5">
            <w:pPr>
              <w:jc w:val="center"/>
            </w:pPr>
          </w:p>
          <w:p w14:paraId="13DACAE4" w14:textId="77777777" w:rsidR="000C30D2" w:rsidRDefault="000C30D2" w:rsidP="00DC20F5">
            <w:pPr>
              <w:jc w:val="center"/>
            </w:pPr>
            <w:r>
              <w:t>EXTEM CA5 – FIBTEM CA5 &lt; 30 mm</w:t>
            </w:r>
          </w:p>
        </w:tc>
      </w:tr>
      <w:tr w:rsidR="000C30D2" w14:paraId="1088C31D" w14:textId="77777777" w:rsidTr="00DC20F5">
        <w:tc>
          <w:tcPr>
            <w:tcW w:w="3080" w:type="dxa"/>
            <w:tcBorders>
              <w:top w:val="single" w:sz="4" w:space="0" w:color="auto"/>
              <w:left w:val="single" w:sz="4" w:space="0" w:color="auto"/>
              <w:bottom w:val="single" w:sz="4" w:space="0" w:color="auto"/>
              <w:right w:val="single" w:sz="4" w:space="0" w:color="auto"/>
            </w:tcBorders>
          </w:tcPr>
          <w:p w14:paraId="459BAF63" w14:textId="77777777" w:rsidR="000C30D2" w:rsidRDefault="000C30D2" w:rsidP="00DC20F5"/>
          <w:p w14:paraId="00A43060" w14:textId="77777777" w:rsidR="000C30D2" w:rsidRDefault="000C30D2" w:rsidP="00DC20F5">
            <w:r>
              <w:t>4 pools fresh frozen plasma</w:t>
            </w:r>
          </w:p>
          <w:p w14:paraId="35E08A53" w14:textId="77777777" w:rsidR="000C30D2" w:rsidRDefault="000C30D2" w:rsidP="00DC20F5"/>
        </w:tc>
        <w:tc>
          <w:tcPr>
            <w:tcW w:w="3081" w:type="dxa"/>
            <w:tcBorders>
              <w:top w:val="single" w:sz="4" w:space="0" w:color="auto"/>
              <w:left w:val="single" w:sz="4" w:space="0" w:color="auto"/>
              <w:bottom w:val="single" w:sz="4" w:space="0" w:color="auto"/>
              <w:right w:val="single" w:sz="4" w:space="0" w:color="auto"/>
            </w:tcBorders>
          </w:tcPr>
          <w:p w14:paraId="02275585" w14:textId="77777777" w:rsidR="000C30D2" w:rsidRDefault="000C30D2" w:rsidP="00DC20F5">
            <w:pPr>
              <w:jc w:val="center"/>
            </w:pPr>
          </w:p>
          <w:p w14:paraId="3A087335" w14:textId="77777777" w:rsidR="000C30D2" w:rsidRDefault="000C30D2" w:rsidP="00DC20F5">
            <w:pPr>
              <w:jc w:val="center"/>
            </w:pPr>
            <w:r>
              <w:t>rTEG MA &gt; 65 mm AND rTEG ACT &gt; 120 sec</w:t>
            </w:r>
          </w:p>
          <w:p w14:paraId="71389251" w14:textId="77777777" w:rsidR="000C30D2" w:rsidRDefault="000C30D2" w:rsidP="00DC20F5">
            <w:pPr>
              <w:jc w:val="center"/>
            </w:pPr>
          </w:p>
        </w:tc>
        <w:tc>
          <w:tcPr>
            <w:tcW w:w="3081" w:type="dxa"/>
            <w:tcBorders>
              <w:top w:val="single" w:sz="4" w:space="0" w:color="auto"/>
              <w:left w:val="single" w:sz="4" w:space="0" w:color="auto"/>
              <w:bottom w:val="single" w:sz="4" w:space="0" w:color="auto"/>
              <w:right w:val="single" w:sz="4" w:space="0" w:color="auto"/>
            </w:tcBorders>
          </w:tcPr>
          <w:p w14:paraId="22522B02" w14:textId="77777777" w:rsidR="000C30D2" w:rsidRDefault="000C30D2" w:rsidP="00DC20F5">
            <w:pPr>
              <w:jc w:val="center"/>
            </w:pPr>
          </w:p>
          <w:p w14:paraId="4548AFB0" w14:textId="77777777" w:rsidR="000C30D2" w:rsidRDefault="000C30D2" w:rsidP="00DC20F5">
            <w:pPr>
              <w:jc w:val="center"/>
            </w:pPr>
            <w:r>
              <w:t>EXTEM CA5 &gt; 40 mm AND EXTEM CT &gt; 80 sec</w:t>
            </w:r>
          </w:p>
        </w:tc>
      </w:tr>
      <w:tr w:rsidR="000C30D2" w14:paraId="3919B3F4" w14:textId="77777777" w:rsidTr="00DC20F5">
        <w:tc>
          <w:tcPr>
            <w:tcW w:w="3080" w:type="dxa"/>
            <w:tcBorders>
              <w:top w:val="single" w:sz="4" w:space="0" w:color="auto"/>
              <w:left w:val="single" w:sz="4" w:space="0" w:color="auto"/>
              <w:bottom w:val="single" w:sz="4" w:space="0" w:color="auto"/>
              <w:right w:val="single" w:sz="4" w:space="0" w:color="auto"/>
            </w:tcBorders>
          </w:tcPr>
          <w:p w14:paraId="69B1F0A5" w14:textId="77777777" w:rsidR="000C30D2" w:rsidRDefault="000C30D2" w:rsidP="00DC20F5">
            <w:pPr>
              <w:jc w:val="center"/>
            </w:pPr>
          </w:p>
          <w:p w14:paraId="6A69E439" w14:textId="77777777" w:rsidR="000C30D2" w:rsidRDefault="000C30D2" w:rsidP="00DC20F5">
            <w:r>
              <w:t>Additional 1g tranexamic acid</w:t>
            </w:r>
          </w:p>
          <w:p w14:paraId="7B654954" w14:textId="77777777" w:rsidR="000C30D2" w:rsidRDefault="000C30D2" w:rsidP="00DC20F5">
            <w:pPr>
              <w:jc w:val="center"/>
            </w:pPr>
          </w:p>
        </w:tc>
        <w:tc>
          <w:tcPr>
            <w:tcW w:w="3081" w:type="dxa"/>
            <w:tcBorders>
              <w:top w:val="single" w:sz="4" w:space="0" w:color="auto"/>
              <w:left w:val="single" w:sz="4" w:space="0" w:color="auto"/>
              <w:bottom w:val="single" w:sz="4" w:space="0" w:color="auto"/>
              <w:right w:val="single" w:sz="4" w:space="0" w:color="auto"/>
            </w:tcBorders>
          </w:tcPr>
          <w:p w14:paraId="77BB078F" w14:textId="77777777" w:rsidR="000C30D2" w:rsidRDefault="000C30D2" w:rsidP="00DC20F5">
            <w:pPr>
              <w:jc w:val="center"/>
            </w:pPr>
          </w:p>
          <w:p w14:paraId="5D1DF674" w14:textId="77777777" w:rsidR="000C30D2" w:rsidRDefault="000C30D2" w:rsidP="00DC20F5">
            <w:pPr>
              <w:jc w:val="center"/>
            </w:pPr>
            <w:r>
              <w:t>rTEG LY30 &gt; 10%</w:t>
            </w:r>
          </w:p>
        </w:tc>
        <w:tc>
          <w:tcPr>
            <w:tcW w:w="3081" w:type="dxa"/>
            <w:tcBorders>
              <w:top w:val="single" w:sz="4" w:space="0" w:color="auto"/>
              <w:left w:val="single" w:sz="4" w:space="0" w:color="auto"/>
              <w:bottom w:val="single" w:sz="4" w:space="0" w:color="auto"/>
              <w:right w:val="single" w:sz="4" w:space="0" w:color="auto"/>
            </w:tcBorders>
          </w:tcPr>
          <w:p w14:paraId="6184A392" w14:textId="77777777" w:rsidR="000C30D2" w:rsidRDefault="000C30D2" w:rsidP="00DC20F5">
            <w:pPr>
              <w:jc w:val="center"/>
            </w:pPr>
          </w:p>
          <w:p w14:paraId="3883F34D" w14:textId="77777777" w:rsidR="000C30D2" w:rsidRDefault="000C30D2" w:rsidP="00DC20F5">
            <w:pPr>
              <w:jc w:val="center"/>
            </w:pPr>
            <w:r>
              <w:t>EXTEM LI30 &lt; 85%</w:t>
            </w:r>
          </w:p>
        </w:tc>
      </w:tr>
    </w:tbl>
    <w:p w14:paraId="2A196F75" w14:textId="77777777" w:rsidR="000C30D2" w:rsidRDefault="000C30D2" w:rsidP="000C30D2">
      <w:pPr>
        <w:rPr>
          <w:sz w:val="16"/>
          <w:szCs w:val="16"/>
        </w:rPr>
      </w:pPr>
    </w:p>
    <w:p w14:paraId="2CD5B0D9" w14:textId="4F565073" w:rsidR="000C30D2" w:rsidRDefault="000C30D2" w:rsidP="000C30D2">
      <w:pPr>
        <w:rPr>
          <w:b/>
          <w:bCs/>
        </w:rPr>
      </w:pPr>
      <w:r>
        <w:rPr>
          <w:sz w:val="16"/>
          <w:szCs w:val="16"/>
        </w:rPr>
        <w:t>These algorithms are suggestions and augment empiric MHP therapy. This table follows data published from the iT</w:t>
      </w:r>
      <w:r w:rsidR="003F4A0B">
        <w:rPr>
          <w:sz w:val="16"/>
          <w:szCs w:val="16"/>
        </w:rPr>
        <w:t>ACTIC</w:t>
      </w:r>
      <w:r>
        <w:rPr>
          <w:sz w:val="16"/>
          <w:szCs w:val="16"/>
        </w:rPr>
        <w:t xml:space="preserve"> RCT </w:t>
      </w:r>
      <w:r w:rsidR="00AC087F">
        <w:rPr>
          <w:sz w:val="16"/>
          <w:szCs w:val="16"/>
          <w:vertAlign w:val="superscript"/>
        </w:rPr>
        <w:t>4</w:t>
      </w:r>
      <w:r>
        <w:rPr>
          <w:sz w:val="16"/>
          <w:szCs w:val="16"/>
        </w:rPr>
        <w:t>. It is recommended that if similar algorithms are to be used, the algorithm is optimised for the hospital in which it is to be used. Please note do not withhold TXA therapy whilst waiting for VHA results.</w:t>
      </w:r>
    </w:p>
    <w:p w14:paraId="68025690" w14:textId="018C82C6" w:rsidR="003A49D0" w:rsidRDefault="003A49D0" w:rsidP="00797D8A">
      <w:pPr>
        <w:spacing w:line="360" w:lineRule="auto"/>
        <w:jc w:val="both"/>
        <w:outlineLvl w:val="0"/>
        <w:rPr>
          <w:b/>
          <w:bCs/>
        </w:rPr>
      </w:pPr>
    </w:p>
    <w:p w14:paraId="06818C86" w14:textId="091072B0" w:rsidR="000C30D2" w:rsidRDefault="000C30D2" w:rsidP="00797D8A">
      <w:pPr>
        <w:spacing w:line="360" w:lineRule="auto"/>
        <w:jc w:val="both"/>
        <w:outlineLvl w:val="0"/>
        <w:rPr>
          <w:b/>
          <w:bCs/>
        </w:rPr>
      </w:pPr>
    </w:p>
    <w:p w14:paraId="570C80DC" w14:textId="701CFCC6" w:rsidR="000C30D2" w:rsidRDefault="000C30D2">
      <w:pPr>
        <w:spacing w:after="160" w:line="259" w:lineRule="auto"/>
        <w:rPr>
          <w:b/>
          <w:bCs/>
        </w:rPr>
      </w:pPr>
      <w:r>
        <w:rPr>
          <w:b/>
          <w:bCs/>
        </w:rPr>
        <w:br w:type="page"/>
      </w:r>
    </w:p>
    <w:p w14:paraId="231A3044" w14:textId="77777777" w:rsidR="000C30D2" w:rsidRDefault="000C30D2" w:rsidP="00797D8A">
      <w:pPr>
        <w:spacing w:line="360" w:lineRule="auto"/>
        <w:jc w:val="both"/>
        <w:outlineLvl w:val="0"/>
        <w:rPr>
          <w:b/>
          <w:bCs/>
        </w:rPr>
      </w:pPr>
    </w:p>
    <w:p w14:paraId="047B3F91" w14:textId="77777777" w:rsidR="000C30D2" w:rsidRDefault="000C30D2" w:rsidP="00797D8A">
      <w:pPr>
        <w:spacing w:line="360" w:lineRule="auto"/>
        <w:jc w:val="both"/>
        <w:outlineLvl w:val="0"/>
        <w:rPr>
          <w:b/>
          <w:bCs/>
        </w:rPr>
      </w:pPr>
    </w:p>
    <w:p w14:paraId="4ED4FA0B" w14:textId="1CDB3FA4" w:rsidR="00797D8A" w:rsidRPr="0019324F" w:rsidRDefault="00797D8A" w:rsidP="00797D8A">
      <w:pPr>
        <w:spacing w:line="360" w:lineRule="auto"/>
        <w:jc w:val="both"/>
        <w:outlineLvl w:val="0"/>
        <w:rPr>
          <w:b/>
          <w:bCs/>
        </w:rPr>
      </w:pPr>
      <w:r w:rsidRPr="0019324F">
        <w:rPr>
          <w:b/>
          <w:bCs/>
        </w:rPr>
        <w:t xml:space="preserve">Table </w:t>
      </w:r>
      <w:r w:rsidR="00B241AB">
        <w:rPr>
          <w:b/>
          <w:bCs/>
        </w:rPr>
        <w:t>4</w:t>
      </w:r>
      <w:r w:rsidRPr="0019324F">
        <w:rPr>
          <w:b/>
          <w:bCs/>
        </w:rPr>
        <w:t xml:space="preserve"> Details required on blood samples for the </w:t>
      </w:r>
      <w:r w:rsidR="00845B4B">
        <w:rPr>
          <w:b/>
          <w:bCs/>
        </w:rPr>
        <w:t>t</w:t>
      </w:r>
      <w:r w:rsidR="00845B4B" w:rsidRPr="0019324F">
        <w:rPr>
          <w:b/>
          <w:bCs/>
        </w:rPr>
        <w:t xml:space="preserve">ransfusion </w:t>
      </w:r>
      <w:r w:rsidRPr="0019324F">
        <w:rPr>
          <w:b/>
          <w:bCs/>
        </w:rPr>
        <w:t>laboratory</w:t>
      </w:r>
    </w:p>
    <w:p w14:paraId="5B89623E" w14:textId="77777777" w:rsidR="00797D8A" w:rsidRPr="00FA6CF7" w:rsidRDefault="00797D8A" w:rsidP="00797D8A">
      <w:pPr>
        <w:spacing w:line="360" w:lineRule="auto"/>
        <w:jc w:val="both"/>
        <w:outlineLvl w:val="0"/>
      </w:pPr>
    </w:p>
    <w:tbl>
      <w:tblPr>
        <w:tblW w:w="933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6"/>
        <w:gridCol w:w="4667"/>
      </w:tblGrid>
      <w:tr w:rsidR="00797D8A" w:rsidRPr="00FA6CF7" w14:paraId="744F98F5" w14:textId="77777777" w:rsidTr="00A75559">
        <w:tc>
          <w:tcPr>
            <w:tcW w:w="4666" w:type="dxa"/>
          </w:tcPr>
          <w:p w14:paraId="408AD418" w14:textId="77777777" w:rsidR="00797D8A" w:rsidRPr="00FA6CF7" w:rsidRDefault="00797D8A" w:rsidP="00A75559">
            <w:pPr>
              <w:spacing w:line="360" w:lineRule="auto"/>
              <w:jc w:val="both"/>
              <w:rPr>
                <w:b/>
                <w:bCs/>
              </w:rPr>
            </w:pPr>
            <w:r w:rsidRPr="00FA6CF7">
              <w:rPr>
                <w:b/>
                <w:bCs/>
              </w:rPr>
              <w:t>Known Patient</w:t>
            </w:r>
          </w:p>
          <w:p w14:paraId="28F761F4" w14:textId="77777777" w:rsidR="00797D8A" w:rsidRPr="00FA6CF7" w:rsidRDefault="00797D8A" w:rsidP="00A75559">
            <w:pPr>
              <w:spacing w:line="360" w:lineRule="auto"/>
              <w:jc w:val="both"/>
            </w:pPr>
            <w:r w:rsidRPr="00FA6CF7">
              <w:t xml:space="preserve">Surname (in full) </w:t>
            </w:r>
          </w:p>
          <w:p w14:paraId="3575A130" w14:textId="77777777" w:rsidR="00797D8A" w:rsidRPr="00FA6CF7" w:rsidRDefault="00797D8A" w:rsidP="00A75559">
            <w:pPr>
              <w:spacing w:line="360" w:lineRule="auto"/>
              <w:jc w:val="both"/>
            </w:pPr>
            <w:r w:rsidRPr="00FA6CF7">
              <w:t xml:space="preserve">Forename (in full) </w:t>
            </w:r>
          </w:p>
          <w:p w14:paraId="7CB57637" w14:textId="77777777" w:rsidR="00797D8A" w:rsidRPr="00FA6CF7" w:rsidRDefault="00797D8A" w:rsidP="00A75559">
            <w:pPr>
              <w:spacing w:line="360" w:lineRule="auto"/>
              <w:jc w:val="both"/>
            </w:pPr>
            <w:r w:rsidRPr="00FA6CF7">
              <w:t xml:space="preserve">Date of birth </w:t>
            </w:r>
          </w:p>
          <w:p w14:paraId="58851CA2" w14:textId="77777777" w:rsidR="00797D8A" w:rsidRPr="00FA6CF7" w:rsidRDefault="00797D8A" w:rsidP="00A75559">
            <w:pPr>
              <w:spacing w:line="360" w:lineRule="auto"/>
              <w:jc w:val="both"/>
            </w:pPr>
            <w:r w:rsidRPr="00FA6CF7">
              <w:t xml:space="preserve">Patient Identification Number </w:t>
            </w:r>
          </w:p>
          <w:p w14:paraId="05A8480D" w14:textId="22253B4A" w:rsidR="00797D8A" w:rsidRPr="00FA6CF7" w:rsidRDefault="008B0D37" w:rsidP="00A75559">
            <w:pPr>
              <w:spacing w:line="360" w:lineRule="auto"/>
              <w:jc w:val="both"/>
            </w:pPr>
            <w:r>
              <w:t>Sex (child-bearing potential)</w:t>
            </w:r>
          </w:p>
          <w:p w14:paraId="23E0BBFE" w14:textId="77777777" w:rsidR="00797D8A" w:rsidRPr="00FA6CF7" w:rsidRDefault="00797D8A" w:rsidP="00A75559">
            <w:pPr>
              <w:spacing w:line="360" w:lineRule="auto"/>
              <w:jc w:val="both"/>
            </w:pPr>
            <w:r w:rsidRPr="00FA6CF7">
              <w:t xml:space="preserve">Date and time of sample </w:t>
            </w:r>
          </w:p>
          <w:p w14:paraId="7F98CB9F" w14:textId="1CB1DE27" w:rsidR="00797D8A" w:rsidRPr="00FA6CF7" w:rsidRDefault="00797D8A" w:rsidP="00A75559">
            <w:pPr>
              <w:spacing w:line="360" w:lineRule="auto"/>
              <w:jc w:val="both"/>
            </w:pPr>
            <w:r w:rsidRPr="00FA6CF7">
              <w:t>Signature of the person taking the sample</w:t>
            </w:r>
            <w:r w:rsidR="006332BD">
              <w:t xml:space="preserve"> (may be electronic)</w:t>
            </w:r>
          </w:p>
          <w:p w14:paraId="23C8967D" w14:textId="77777777" w:rsidR="00797D8A" w:rsidRPr="00FA6CF7" w:rsidRDefault="00797D8A" w:rsidP="00A75559">
            <w:pPr>
              <w:spacing w:line="360" w:lineRule="auto"/>
              <w:jc w:val="both"/>
            </w:pPr>
          </w:p>
        </w:tc>
        <w:tc>
          <w:tcPr>
            <w:tcW w:w="4667" w:type="dxa"/>
          </w:tcPr>
          <w:p w14:paraId="6141F979" w14:textId="77777777" w:rsidR="00797D8A" w:rsidRPr="00FA6CF7" w:rsidRDefault="00797D8A" w:rsidP="00A75559">
            <w:pPr>
              <w:spacing w:line="360" w:lineRule="auto"/>
              <w:jc w:val="both"/>
              <w:rPr>
                <w:b/>
                <w:bCs/>
              </w:rPr>
            </w:pPr>
            <w:r w:rsidRPr="00FA6CF7">
              <w:rPr>
                <w:b/>
                <w:bCs/>
              </w:rPr>
              <w:t xml:space="preserve">Unknown Patient </w:t>
            </w:r>
          </w:p>
          <w:p w14:paraId="3B0C7C69" w14:textId="7DEDACD7" w:rsidR="00797D8A" w:rsidRPr="00FA6CF7" w:rsidRDefault="00797D8A" w:rsidP="00A75559">
            <w:pPr>
              <w:spacing w:line="360" w:lineRule="auto"/>
              <w:jc w:val="both"/>
            </w:pPr>
            <w:r w:rsidRPr="00FA6CF7">
              <w:t>If the patient is unknown the following data must be included</w:t>
            </w:r>
            <w:r w:rsidR="00AC087F">
              <w:rPr>
                <w:vertAlign w:val="superscript"/>
              </w:rPr>
              <w:t>7</w:t>
            </w:r>
            <w:r w:rsidRPr="00FA6CF7">
              <w:t xml:space="preserve"> </w:t>
            </w:r>
          </w:p>
          <w:p w14:paraId="690D9FBC" w14:textId="77777777" w:rsidR="00797D8A" w:rsidRPr="00FA6CF7" w:rsidRDefault="00797D8A" w:rsidP="00A75559">
            <w:pPr>
              <w:spacing w:line="360" w:lineRule="auto"/>
              <w:jc w:val="both"/>
            </w:pPr>
            <w:r w:rsidRPr="00FA6CF7">
              <w:t>Unique patient number</w:t>
            </w:r>
          </w:p>
          <w:p w14:paraId="4AB5D619" w14:textId="77777777" w:rsidR="00797D8A" w:rsidRPr="00FA6CF7" w:rsidRDefault="00797D8A" w:rsidP="00A75559">
            <w:pPr>
              <w:spacing w:line="360" w:lineRule="auto"/>
              <w:jc w:val="both"/>
            </w:pPr>
            <w:r w:rsidRPr="00FA6CF7">
              <w:t>Randomly generated forename/surname</w:t>
            </w:r>
          </w:p>
          <w:p w14:paraId="3CE35F04" w14:textId="77777777" w:rsidR="00797D8A" w:rsidRPr="00FA6CF7" w:rsidRDefault="00797D8A" w:rsidP="00A75559">
            <w:pPr>
              <w:spacing w:line="360" w:lineRule="auto"/>
              <w:jc w:val="both"/>
            </w:pPr>
            <w:r w:rsidRPr="00FA6CF7">
              <w:t>DOB as per local policy</w:t>
            </w:r>
          </w:p>
          <w:p w14:paraId="79C0DF70" w14:textId="77777777" w:rsidR="00797D8A" w:rsidRPr="00FA6CF7" w:rsidRDefault="00797D8A" w:rsidP="00A75559">
            <w:pPr>
              <w:spacing w:line="360" w:lineRule="auto"/>
              <w:jc w:val="both"/>
            </w:pPr>
            <w:r w:rsidRPr="00FA6CF7">
              <w:t xml:space="preserve">Date and time of sample </w:t>
            </w:r>
          </w:p>
          <w:p w14:paraId="7748B45C" w14:textId="77777777" w:rsidR="00797D8A" w:rsidRPr="00FA6CF7" w:rsidRDefault="00797D8A" w:rsidP="00A75559">
            <w:pPr>
              <w:spacing w:line="360" w:lineRule="auto"/>
              <w:jc w:val="both"/>
            </w:pPr>
            <w:r w:rsidRPr="00FA6CF7">
              <w:t>Signature of the person taking the sample</w:t>
            </w:r>
          </w:p>
          <w:p w14:paraId="3B3C242F" w14:textId="77777777" w:rsidR="00797D8A" w:rsidRPr="00FA6CF7" w:rsidRDefault="00797D8A" w:rsidP="00A75559">
            <w:pPr>
              <w:spacing w:line="360" w:lineRule="auto"/>
              <w:jc w:val="both"/>
            </w:pPr>
          </w:p>
          <w:p w14:paraId="0D44F52C" w14:textId="62D3E2C5" w:rsidR="00797D8A" w:rsidRPr="00FA6CF7" w:rsidRDefault="00797D8A" w:rsidP="00A75559">
            <w:pPr>
              <w:spacing w:line="360" w:lineRule="auto"/>
              <w:jc w:val="both"/>
            </w:pPr>
            <w:r w:rsidRPr="00FA6CF7">
              <w:t>On confirmation of patient details</w:t>
            </w:r>
            <w:r>
              <w:t xml:space="preserve"> and once the patient is clinically stable</w:t>
            </w:r>
            <w:r w:rsidRPr="00FA6CF7">
              <w:t xml:space="preserve"> inform</w:t>
            </w:r>
            <w:r>
              <w:t xml:space="preserve"> the</w:t>
            </w:r>
            <w:r w:rsidRPr="00FA6CF7">
              <w:t xml:space="preserve"> </w:t>
            </w:r>
            <w:r w:rsidR="00845B4B">
              <w:t>t</w:t>
            </w:r>
            <w:r w:rsidR="00845B4B" w:rsidRPr="00FA6CF7">
              <w:t xml:space="preserve">ransfusion </w:t>
            </w:r>
            <w:r w:rsidR="00845B4B">
              <w:t>l</w:t>
            </w:r>
            <w:r w:rsidR="00845B4B" w:rsidRPr="00FA6CF7">
              <w:t>aboratory</w:t>
            </w:r>
            <w:r>
              <w:t>, ensure the patient is wearing an updated identification band</w:t>
            </w:r>
            <w:r w:rsidRPr="00FA6CF7">
              <w:t xml:space="preserve"> and re-bleed the patient labelling the bottles with:</w:t>
            </w:r>
          </w:p>
          <w:p w14:paraId="297E4126" w14:textId="77777777" w:rsidR="00797D8A" w:rsidRPr="00FA6CF7" w:rsidRDefault="00797D8A" w:rsidP="00A75559">
            <w:pPr>
              <w:spacing w:line="360" w:lineRule="auto"/>
              <w:jc w:val="both"/>
            </w:pPr>
            <w:r w:rsidRPr="00FA6CF7">
              <w:t xml:space="preserve">Surname (in full) </w:t>
            </w:r>
          </w:p>
          <w:p w14:paraId="6B961011" w14:textId="77777777" w:rsidR="00797D8A" w:rsidRPr="00FA6CF7" w:rsidRDefault="00797D8A" w:rsidP="00A75559">
            <w:pPr>
              <w:spacing w:line="360" w:lineRule="auto"/>
              <w:jc w:val="both"/>
            </w:pPr>
            <w:r w:rsidRPr="00FA6CF7">
              <w:t xml:space="preserve">Forename (in full)  </w:t>
            </w:r>
          </w:p>
          <w:p w14:paraId="76F33E07" w14:textId="77777777" w:rsidR="00797D8A" w:rsidRPr="00FA6CF7" w:rsidRDefault="00797D8A" w:rsidP="00A75559">
            <w:pPr>
              <w:spacing w:line="360" w:lineRule="auto"/>
              <w:jc w:val="both"/>
            </w:pPr>
            <w:r w:rsidRPr="00FA6CF7">
              <w:t xml:space="preserve">Date of birth </w:t>
            </w:r>
          </w:p>
          <w:p w14:paraId="6C9F9B6F" w14:textId="77777777" w:rsidR="00797D8A" w:rsidRPr="00FA6CF7" w:rsidRDefault="00797D8A" w:rsidP="00A75559">
            <w:pPr>
              <w:spacing w:line="360" w:lineRule="auto"/>
              <w:jc w:val="both"/>
            </w:pPr>
            <w:r w:rsidRPr="00FA6CF7">
              <w:t xml:space="preserve">Patient Identification Number </w:t>
            </w:r>
          </w:p>
          <w:p w14:paraId="421AEC22" w14:textId="77777777" w:rsidR="00797D8A" w:rsidRPr="00FA6CF7" w:rsidRDefault="00797D8A" w:rsidP="00A75559">
            <w:pPr>
              <w:spacing w:line="360" w:lineRule="auto"/>
              <w:jc w:val="both"/>
            </w:pPr>
            <w:r w:rsidRPr="00FA6CF7">
              <w:t xml:space="preserve">Gender </w:t>
            </w:r>
          </w:p>
          <w:p w14:paraId="1DE1A31B" w14:textId="77777777" w:rsidR="00797D8A" w:rsidRPr="00FA6CF7" w:rsidRDefault="00797D8A" w:rsidP="00A75559">
            <w:pPr>
              <w:spacing w:line="360" w:lineRule="auto"/>
              <w:jc w:val="both"/>
            </w:pPr>
            <w:r w:rsidRPr="00FA6CF7">
              <w:t xml:space="preserve">Date and time of sample </w:t>
            </w:r>
          </w:p>
          <w:p w14:paraId="743AF29C" w14:textId="77777777" w:rsidR="00797D8A" w:rsidRPr="00FA6CF7" w:rsidRDefault="00797D8A" w:rsidP="00A75559">
            <w:pPr>
              <w:spacing w:line="360" w:lineRule="auto"/>
              <w:jc w:val="both"/>
            </w:pPr>
            <w:r w:rsidRPr="00FA6CF7">
              <w:t>Signature of the person taking the sample</w:t>
            </w:r>
          </w:p>
          <w:p w14:paraId="147A4688" w14:textId="77777777" w:rsidR="00797D8A" w:rsidRPr="00FA6CF7" w:rsidRDefault="00797D8A" w:rsidP="00A75559">
            <w:pPr>
              <w:spacing w:line="360" w:lineRule="auto"/>
              <w:jc w:val="both"/>
            </w:pPr>
          </w:p>
          <w:p w14:paraId="31F08CA0" w14:textId="77777777" w:rsidR="00797D8A" w:rsidRPr="00FA6CF7" w:rsidRDefault="00797D8A" w:rsidP="00A75559">
            <w:pPr>
              <w:spacing w:line="360" w:lineRule="auto"/>
              <w:jc w:val="both"/>
            </w:pPr>
          </w:p>
        </w:tc>
      </w:tr>
    </w:tbl>
    <w:p w14:paraId="2CABF01B" w14:textId="0F2585D7" w:rsidR="00797D8A" w:rsidRPr="00F3162C" w:rsidRDefault="00845B4B" w:rsidP="00797D8A">
      <w:pPr>
        <w:spacing w:line="360" w:lineRule="auto"/>
        <w:jc w:val="both"/>
        <w:rPr>
          <w:sz w:val="20"/>
          <w:szCs w:val="20"/>
        </w:rPr>
      </w:pPr>
      <w:r w:rsidRPr="00F3162C">
        <w:rPr>
          <w:sz w:val="20"/>
          <w:szCs w:val="20"/>
        </w:rPr>
        <w:t>DOB, date of birth; NHSI, National Health Service Improvement</w:t>
      </w:r>
    </w:p>
    <w:p w14:paraId="33FDFEA1" w14:textId="321E3E01" w:rsidR="0019324F" w:rsidRDefault="0019324F" w:rsidP="00797D8A">
      <w:pPr>
        <w:spacing w:line="360" w:lineRule="auto"/>
        <w:jc w:val="both"/>
      </w:pPr>
    </w:p>
    <w:p w14:paraId="47FEBC48" w14:textId="77777777" w:rsidR="0019324F" w:rsidRDefault="0019324F" w:rsidP="0019324F">
      <w:pPr>
        <w:spacing w:line="480" w:lineRule="auto"/>
        <w:ind w:left="360"/>
        <w:rPr>
          <w:b/>
          <w:bCs/>
          <w:sz w:val="24"/>
          <w:szCs w:val="24"/>
        </w:rPr>
      </w:pPr>
    </w:p>
    <w:p w14:paraId="435118AC" w14:textId="77777777" w:rsidR="0019324F" w:rsidRDefault="0019324F" w:rsidP="00797D8A">
      <w:pPr>
        <w:spacing w:line="360" w:lineRule="auto"/>
        <w:jc w:val="both"/>
      </w:pPr>
    </w:p>
    <w:p w14:paraId="23721FF9" w14:textId="6C415E15" w:rsidR="00AA578A" w:rsidRDefault="00AA578A" w:rsidP="00797D8A">
      <w:pPr>
        <w:spacing w:line="360" w:lineRule="auto"/>
        <w:jc w:val="both"/>
      </w:pPr>
    </w:p>
    <w:p w14:paraId="412E1EB0" w14:textId="77777777" w:rsidR="00AA578A" w:rsidRDefault="00AA578A" w:rsidP="00797D8A">
      <w:pPr>
        <w:spacing w:line="360" w:lineRule="auto"/>
        <w:jc w:val="both"/>
        <w:sectPr w:rsidR="00AA578A" w:rsidSect="00BE5D1A">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pPr>
    </w:p>
    <w:p w14:paraId="75B60DAB" w14:textId="4EC40AB8" w:rsidR="00982678" w:rsidRDefault="00982678" w:rsidP="00236B66">
      <w:pPr>
        <w:jc w:val="both"/>
        <w:outlineLvl w:val="0"/>
        <w:rPr>
          <w:b/>
          <w:bCs/>
          <w:sz w:val="24"/>
          <w:szCs w:val="24"/>
        </w:rPr>
      </w:pPr>
      <w:r w:rsidRPr="0019324F">
        <w:rPr>
          <w:b/>
          <w:bCs/>
          <w:sz w:val="24"/>
          <w:szCs w:val="24"/>
        </w:rPr>
        <w:lastRenderedPageBreak/>
        <w:t xml:space="preserve">Table </w:t>
      </w:r>
      <w:r w:rsidR="00B241AB">
        <w:rPr>
          <w:b/>
          <w:bCs/>
          <w:sz w:val="24"/>
          <w:szCs w:val="24"/>
        </w:rPr>
        <w:t>5</w:t>
      </w:r>
      <w:r w:rsidRPr="0019324F">
        <w:rPr>
          <w:b/>
          <w:bCs/>
          <w:sz w:val="24"/>
          <w:szCs w:val="24"/>
        </w:rPr>
        <w:t xml:space="preserve"> A </w:t>
      </w:r>
      <w:r w:rsidR="0060124A">
        <w:rPr>
          <w:b/>
          <w:bCs/>
          <w:sz w:val="24"/>
          <w:szCs w:val="24"/>
        </w:rPr>
        <w:t xml:space="preserve">rapid </w:t>
      </w:r>
      <w:r w:rsidRPr="0019324F">
        <w:rPr>
          <w:b/>
          <w:bCs/>
          <w:sz w:val="24"/>
          <w:szCs w:val="24"/>
        </w:rPr>
        <w:t>guide to blood components used in major haemorrhage in adults.</w:t>
      </w:r>
    </w:p>
    <w:p w14:paraId="64374A56" w14:textId="77777777" w:rsidR="00982678" w:rsidRPr="00FA6CF7" w:rsidRDefault="00982678" w:rsidP="00982678">
      <w:pPr>
        <w:jc w:val="both"/>
        <w:rPr>
          <w:b/>
          <w:bCs/>
        </w:rPr>
      </w:pPr>
    </w:p>
    <w:tbl>
      <w:tblPr>
        <w:tblW w:w="133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2126"/>
        <w:gridCol w:w="1838"/>
        <w:gridCol w:w="2268"/>
        <w:gridCol w:w="4961"/>
      </w:tblGrid>
      <w:tr w:rsidR="00982678" w:rsidRPr="0060124A" w14:paraId="0863BF43" w14:textId="77777777" w:rsidTr="0060124A">
        <w:tc>
          <w:tcPr>
            <w:tcW w:w="2172" w:type="dxa"/>
          </w:tcPr>
          <w:p w14:paraId="382BB0C4" w14:textId="77777777" w:rsidR="00982678" w:rsidRPr="0060124A" w:rsidRDefault="00982678" w:rsidP="00236B66">
            <w:pPr>
              <w:jc w:val="center"/>
              <w:rPr>
                <w:b/>
                <w:bCs/>
                <w:sz w:val="20"/>
                <w:szCs w:val="20"/>
              </w:rPr>
            </w:pPr>
            <w:r w:rsidRPr="0060124A">
              <w:rPr>
                <w:b/>
                <w:bCs/>
                <w:sz w:val="20"/>
                <w:szCs w:val="20"/>
              </w:rPr>
              <w:t>Blood component</w:t>
            </w:r>
          </w:p>
        </w:tc>
        <w:tc>
          <w:tcPr>
            <w:tcW w:w="2126" w:type="dxa"/>
          </w:tcPr>
          <w:p w14:paraId="7F291BC7" w14:textId="77777777" w:rsidR="00982678" w:rsidRPr="0060124A" w:rsidRDefault="00982678" w:rsidP="00236B66">
            <w:pPr>
              <w:jc w:val="center"/>
              <w:rPr>
                <w:b/>
                <w:bCs/>
                <w:sz w:val="20"/>
                <w:szCs w:val="20"/>
              </w:rPr>
            </w:pPr>
            <w:r w:rsidRPr="0060124A">
              <w:rPr>
                <w:b/>
                <w:bCs/>
                <w:sz w:val="20"/>
                <w:szCs w:val="20"/>
              </w:rPr>
              <w:t>Storage conditions &amp; shelf life</w:t>
            </w:r>
          </w:p>
        </w:tc>
        <w:tc>
          <w:tcPr>
            <w:tcW w:w="1838" w:type="dxa"/>
          </w:tcPr>
          <w:p w14:paraId="671B938E" w14:textId="77777777" w:rsidR="00982678" w:rsidRPr="0060124A" w:rsidRDefault="00982678" w:rsidP="00236B66">
            <w:pPr>
              <w:jc w:val="center"/>
              <w:rPr>
                <w:b/>
                <w:bCs/>
                <w:sz w:val="20"/>
                <w:szCs w:val="20"/>
              </w:rPr>
            </w:pPr>
            <w:r w:rsidRPr="0060124A">
              <w:rPr>
                <w:b/>
                <w:bCs/>
                <w:sz w:val="20"/>
                <w:szCs w:val="20"/>
              </w:rPr>
              <w:t>Volume per pack</w:t>
            </w:r>
          </w:p>
        </w:tc>
        <w:tc>
          <w:tcPr>
            <w:tcW w:w="2268" w:type="dxa"/>
          </w:tcPr>
          <w:p w14:paraId="27F8AEF1" w14:textId="77777777" w:rsidR="00982678" w:rsidRPr="0060124A" w:rsidRDefault="00982678" w:rsidP="00236B66">
            <w:pPr>
              <w:jc w:val="center"/>
              <w:rPr>
                <w:b/>
                <w:bCs/>
                <w:sz w:val="20"/>
                <w:szCs w:val="20"/>
              </w:rPr>
            </w:pPr>
            <w:r w:rsidRPr="0060124A">
              <w:rPr>
                <w:b/>
                <w:bCs/>
                <w:sz w:val="20"/>
                <w:szCs w:val="20"/>
              </w:rPr>
              <w:t>Dosing regimes</w:t>
            </w:r>
          </w:p>
        </w:tc>
        <w:tc>
          <w:tcPr>
            <w:tcW w:w="4961" w:type="dxa"/>
          </w:tcPr>
          <w:p w14:paraId="0A5C0CCD" w14:textId="77777777" w:rsidR="00982678" w:rsidRPr="0060124A" w:rsidRDefault="00982678" w:rsidP="00236B66">
            <w:pPr>
              <w:jc w:val="center"/>
              <w:rPr>
                <w:b/>
                <w:bCs/>
                <w:sz w:val="20"/>
                <w:szCs w:val="20"/>
              </w:rPr>
            </w:pPr>
            <w:r w:rsidRPr="0060124A">
              <w:rPr>
                <w:b/>
                <w:bCs/>
                <w:sz w:val="20"/>
                <w:szCs w:val="20"/>
              </w:rPr>
              <w:t>Additional points</w:t>
            </w:r>
          </w:p>
        </w:tc>
      </w:tr>
      <w:tr w:rsidR="00982678" w:rsidRPr="0060124A" w14:paraId="532B3D43" w14:textId="77777777" w:rsidTr="0060124A">
        <w:tc>
          <w:tcPr>
            <w:tcW w:w="2172" w:type="dxa"/>
          </w:tcPr>
          <w:p w14:paraId="75AD15F3" w14:textId="3B62DED5" w:rsidR="00982678" w:rsidRPr="0060124A" w:rsidRDefault="00982678" w:rsidP="0060124A">
            <w:pPr>
              <w:rPr>
                <w:sz w:val="20"/>
                <w:szCs w:val="20"/>
              </w:rPr>
            </w:pPr>
            <w:r w:rsidRPr="0060124A">
              <w:rPr>
                <w:sz w:val="20"/>
                <w:szCs w:val="20"/>
              </w:rPr>
              <w:t>Red cells in additive solution</w:t>
            </w:r>
          </w:p>
        </w:tc>
        <w:tc>
          <w:tcPr>
            <w:tcW w:w="2126" w:type="dxa"/>
          </w:tcPr>
          <w:p w14:paraId="0C2FF65A" w14:textId="297F7FB4" w:rsidR="00982678" w:rsidRPr="0060124A" w:rsidRDefault="00982678" w:rsidP="0060124A">
            <w:pPr>
              <w:rPr>
                <w:sz w:val="20"/>
                <w:szCs w:val="20"/>
              </w:rPr>
            </w:pPr>
            <w:r w:rsidRPr="0060124A">
              <w:rPr>
                <w:sz w:val="20"/>
                <w:szCs w:val="20"/>
              </w:rPr>
              <w:t>Up to 35 days at 2</w:t>
            </w:r>
            <w:r w:rsidR="00E942D7">
              <w:rPr>
                <w:sz w:val="20"/>
                <w:szCs w:val="20"/>
              </w:rPr>
              <w:t>-</w:t>
            </w:r>
            <w:r w:rsidRPr="0060124A">
              <w:rPr>
                <w:sz w:val="20"/>
                <w:szCs w:val="20"/>
              </w:rPr>
              <w:t>6</w:t>
            </w:r>
            <w:r w:rsidRPr="0060124A">
              <w:rPr>
                <w:sz w:val="20"/>
                <w:szCs w:val="20"/>
                <w:vertAlign w:val="superscript"/>
              </w:rPr>
              <w:t>o</w:t>
            </w:r>
            <w:r w:rsidRPr="0060124A">
              <w:rPr>
                <w:sz w:val="20"/>
                <w:szCs w:val="20"/>
              </w:rPr>
              <w:t>C</w:t>
            </w:r>
          </w:p>
        </w:tc>
        <w:tc>
          <w:tcPr>
            <w:tcW w:w="1838" w:type="dxa"/>
          </w:tcPr>
          <w:p w14:paraId="270AA3E7" w14:textId="5433BB5A" w:rsidR="00982678" w:rsidRPr="0060124A" w:rsidRDefault="00982678" w:rsidP="0060124A">
            <w:pPr>
              <w:rPr>
                <w:sz w:val="20"/>
                <w:szCs w:val="20"/>
              </w:rPr>
            </w:pPr>
            <w:r w:rsidRPr="0060124A">
              <w:rPr>
                <w:sz w:val="20"/>
                <w:szCs w:val="20"/>
              </w:rPr>
              <w:t xml:space="preserve">Mean pack volume: 282 </w:t>
            </w:r>
            <w:r w:rsidR="00E942D7" w:rsidRPr="0060124A">
              <w:rPr>
                <w:sz w:val="20"/>
                <w:szCs w:val="20"/>
              </w:rPr>
              <w:t>m</w:t>
            </w:r>
            <w:r w:rsidR="00E942D7">
              <w:rPr>
                <w:sz w:val="20"/>
                <w:szCs w:val="20"/>
              </w:rPr>
              <w:t>l</w:t>
            </w:r>
            <w:r w:rsidR="00E942D7" w:rsidRPr="0060124A">
              <w:rPr>
                <w:sz w:val="20"/>
                <w:szCs w:val="20"/>
              </w:rPr>
              <w:t xml:space="preserve"> </w:t>
            </w:r>
            <w:r w:rsidRPr="0060124A">
              <w:rPr>
                <w:sz w:val="20"/>
                <w:szCs w:val="20"/>
              </w:rPr>
              <w:t xml:space="preserve">+/- 32 </w:t>
            </w:r>
            <w:r w:rsidR="00E942D7" w:rsidRPr="0060124A">
              <w:rPr>
                <w:sz w:val="20"/>
                <w:szCs w:val="20"/>
              </w:rPr>
              <w:t>m</w:t>
            </w:r>
            <w:r w:rsidR="00E942D7">
              <w:rPr>
                <w:sz w:val="20"/>
                <w:szCs w:val="20"/>
              </w:rPr>
              <w:t>l</w:t>
            </w:r>
          </w:p>
        </w:tc>
        <w:tc>
          <w:tcPr>
            <w:tcW w:w="2268" w:type="dxa"/>
          </w:tcPr>
          <w:p w14:paraId="5E3E9A26" w14:textId="315C90D6" w:rsidR="00982678" w:rsidRPr="0060124A" w:rsidRDefault="00982678" w:rsidP="0060124A">
            <w:pPr>
              <w:rPr>
                <w:sz w:val="20"/>
                <w:szCs w:val="20"/>
              </w:rPr>
            </w:pPr>
            <w:r w:rsidRPr="0060124A">
              <w:rPr>
                <w:sz w:val="20"/>
                <w:szCs w:val="20"/>
              </w:rPr>
              <w:t xml:space="preserve">Order 4–6 units initially, see text for choice of group </w:t>
            </w:r>
          </w:p>
        </w:tc>
        <w:tc>
          <w:tcPr>
            <w:tcW w:w="4961" w:type="dxa"/>
          </w:tcPr>
          <w:p w14:paraId="22AC9DB7" w14:textId="6DE8D5E8" w:rsidR="00982678" w:rsidRPr="0060124A" w:rsidRDefault="00982678" w:rsidP="0060124A">
            <w:pPr>
              <w:rPr>
                <w:sz w:val="20"/>
                <w:szCs w:val="20"/>
              </w:rPr>
            </w:pPr>
            <w:r w:rsidRPr="0060124A">
              <w:rPr>
                <w:sz w:val="20"/>
                <w:szCs w:val="20"/>
              </w:rPr>
              <w:t xml:space="preserve">Rate of administration guided by rate of blood loss &amp; haemodynamic compromise, aiming to maintain oxygen delivery to tissues. </w:t>
            </w:r>
            <w:r w:rsidR="00C33A8C" w:rsidRPr="0060124A">
              <w:rPr>
                <w:sz w:val="20"/>
                <w:szCs w:val="20"/>
              </w:rPr>
              <w:t>B</w:t>
            </w:r>
            <w:r w:rsidRPr="0060124A">
              <w:rPr>
                <w:sz w:val="20"/>
                <w:szCs w:val="20"/>
              </w:rPr>
              <w:t>lood should be given through a warming device.</w:t>
            </w:r>
          </w:p>
        </w:tc>
      </w:tr>
      <w:tr w:rsidR="00982678" w:rsidRPr="0060124A" w14:paraId="2152B090" w14:textId="77777777" w:rsidTr="0060124A">
        <w:tc>
          <w:tcPr>
            <w:tcW w:w="2172" w:type="dxa"/>
          </w:tcPr>
          <w:p w14:paraId="3CDA0DA1" w14:textId="5B0B57F6" w:rsidR="00982678" w:rsidRPr="0060124A" w:rsidRDefault="00982678" w:rsidP="0060124A">
            <w:pPr>
              <w:rPr>
                <w:sz w:val="20"/>
                <w:szCs w:val="20"/>
              </w:rPr>
            </w:pPr>
            <w:r w:rsidRPr="0060124A">
              <w:rPr>
                <w:sz w:val="20"/>
                <w:szCs w:val="20"/>
              </w:rPr>
              <w:t>Fresh frozen plasma</w:t>
            </w:r>
          </w:p>
          <w:p w14:paraId="1449AE9C" w14:textId="2BB5A76D" w:rsidR="00982678" w:rsidRPr="0060124A" w:rsidRDefault="00982678" w:rsidP="0060124A">
            <w:pPr>
              <w:rPr>
                <w:sz w:val="20"/>
                <w:szCs w:val="20"/>
              </w:rPr>
            </w:pPr>
            <w:r w:rsidRPr="0060124A">
              <w:rPr>
                <w:sz w:val="20"/>
                <w:szCs w:val="20"/>
              </w:rPr>
              <w:t>(</w:t>
            </w:r>
            <w:r w:rsidR="00E942D7">
              <w:rPr>
                <w:sz w:val="20"/>
                <w:szCs w:val="20"/>
              </w:rPr>
              <w:t>f</w:t>
            </w:r>
            <w:r w:rsidR="00E942D7" w:rsidRPr="0060124A">
              <w:rPr>
                <w:sz w:val="20"/>
                <w:szCs w:val="20"/>
              </w:rPr>
              <w:t xml:space="preserve">rom </w:t>
            </w:r>
            <w:r w:rsidRPr="0060124A">
              <w:rPr>
                <w:sz w:val="20"/>
                <w:szCs w:val="20"/>
              </w:rPr>
              <w:t xml:space="preserve">one donor) </w:t>
            </w:r>
            <w:r w:rsidR="00174C77">
              <w:rPr>
                <w:sz w:val="20"/>
                <w:szCs w:val="20"/>
              </w:rPr>
              <w:t>(</w:t>
            </w:r>
            <w:r w:rsidRPr="0060124A">
              <w:rPr>
                <w:sz w:val="20"/>
                <w:szCs w:val="20"/>
              </w:rPr>
              <w:t>FFP</w:t>
            </w:r>
            <w:r w:rsidR="00174C77">
              <w:rPr>
                <w:sz w:val="20"/>
                <w:szCs w:val="20"/>
              </w:rPr>
              <w:t>)</w:t>
            </w:r>
          </w:p>
          <w:p w14:paraId="704C882F" w14:textId="77777777" w:rsidR="0060124A" w:rsidRPr="0060124A" w:rsidRDefault="0060124A" w:rsidP="0060124A">
            <w:pPr>
              <w:rPr>
                <w:sz w:val="20"/>
                <w:szCs w:val="20"/>
              </w:rPr>
            </w:pPr>
          </w:p>
          <w:p w14:paraId="796F4EB6" w14:textId="77777777" w:rsidR="00982678" w:rsidRPr="0060124A" w:rsidRDefault="00982678" w:rsidP="0060124A">
            <w:pPr>
              <w:rPr>
                <w:sz w:val="20"/>
                <w:szCs w:val="20"/>
              </w:rPr>
            </w:pPr>
            <w:r w:rsidRPr="0060124A">
              <w:rPr>
                <w:sz w:val="20"/>
                <w:szCs w:val="20"/>
              </w:rPr>
              <w:t>OR</w:t>
            </w:r>
          </w:p>
          <w:p w14:paraId="0F40FF63" w14:textId="77777777" w:rsidR="0060124A" w:rsidRPr="0060124A" w:rsidRDefault="0060124A" w:rsidP="0060124A">
            <w:pPr>
              <w:rPr>
                <w:sz w:val="20"/>
                <w:szCs w:val="20"/>
              </w:rPr>
            </w:pPr>
          </w:p>
          <w:p w14:paraId="2A91821B" w14:textId="77777777" w:rsidR="00982678" w:rsidRPr="0060124A" w:rsidRDefault="00982678" w:rsidP="0060124A">
            <w:pPr>
              <w:rPr>
                <w:sz w:val="20"/>
                <w:szCs w:val="20"/>
              </w:rPr>
            </w:pPr>
            <w:r w:rsidRPr="0060124A">
              <w:rPr>
                <w:sz w:val="20"/>
                <w:szCs w:val="20"/>
              </w:rPr>
              <w:t>Solvent-detergent FFP (SDFFP) (pooled)</w:t>
            </w:r>
          </w:p>
        </w:tc>
        <w:tc>
          <w:tcPr>
            <w:tcW w:w="2126" w:type="dxa"/>
          </w:tcPr>
          <w:p w14:paraId="2B391289" w14:textId="682B7A48" w:rsidR="00982678" w:rsidRPr="0060124A" w:rsidRDefault="00982678" w:rsidP="0060124A">
            <w:pPr>
              <w:rPr>
                <w:sz w:val="20"/>
                <w:szCs w:val="20"/>
              </w:rPr>
            </w:pPr>
            <w:r w:rsidRPr="0060124A">
              <w:rPr>
                <w:sz w:val="20"/>
                <w:szCs w:val="20"/>
              </w:rPr>
              <w:t>FFP: 36 m</w:t>
            </w:r>
            <w:r w:rsidR="006938EB" w:rsidRPr="0060124A">
              <w:rPr>
                <w:sz w:val="20"/>
                <w:szCs w:val="20"/>
              </w:rPr>
              <w:t>on</w:t>
            </w:r>
            <w:r w:rsidRPr="0060124A">
              <w:rPr>
                <w:sz w:val="20"/>
                <w:szCs w:val="20"/>
              </w:rPr>
              <w:t>ths when frozen.</w:t>
            </w:r>
          </w:p>
          <w:p w14:paraId="6AC39157" w14:textId="670040F5" w:rsidR="00982678" w:rsidRPr="0060124A" w:rsidRDefault="00982678" w:rsidP="0060124A">
            <w:pPr>
              <w:rPr>
                <w:sz w:val="20"/>
                <w:szCs w:val="20"/>
              </w:rPr>
            </w:pPr>
            <w:r w:rsidRPr="0060124A">
              <w:rPr>
                <w:sz w:val="20"/>
                <w:szCs w:val="20"/>
              </w:rPr>
              <w:t>Once thawed</w:t>
            </w:r>
            <w:r w:rsidR="00C971FD">
              <w:rPr>
                <w:sz w:val="20"/>
                <w:szCs w:val="20"/>
              </w:rPr>
              <w:t>,</w:t>
            </w:r>
            <w:r w:rsidRPr="0060124A">
              <w:rPr>
                <w:sz w:val="20"/>
                <w:szCs w:val="20"/>
              </w:rPr>
              <w:t xml:space="preserve"> 4 hours at 22</w:t>
            </w:r>
            <w:r w:rsidRPr="0060124A">
              <w:rPr>
                <w:sz w:val="20"/>
                <w:szCs w:val="20"/>
                <w:vertAlign w:val="superscript"/>
              </w:rPr>
              <w:t>o</w:t>
            </w:r>
            <w:r w:rsidRPr="0060124A">
              <w:rPr>
                <w:sz w:val="20"/>
                <w:szCs w:val="20"/>
              </w:rPr>
              <w:t>C &amp; 5 days at 4</w:t>
            </w:r>
            <w:r w:rsidRPr="0060124A">
              <w:rPr>
                <w:sz w:val="20"/>
                <w:szCs w:val="20"/>
                <w:vertAlign w:val="superscript"/>
              </w:rPr>
              <w:t>o</w:t>
            </w:r>
            <w:r w:rsidRPr="0060124A">
              <w:rPr>
                <w:sz w:val="20"/>
                <w:szCs w:val="20"/>
              </w:rPr>
              <w:t xml:space="preserve">C for </w:t>
            </w:r>
            <w:r w:rsidR="00C971FD">
              <w:rPr>
                <w:sz w:val="20"/>
                <w:szCs w:val="20"/>
              </w:rPr>
              <w:t xml:space="preserve">bleeding </w:t>
            </w:r>
            <w:r w:rsidRPr="0060124A">
              <w:rPr>
                <w:sz w:val="20"/>
                <w:szCs w:val="20"/>
              </w:rPr>
              <w:t>patients</w:t>
            </w:r>
          </w:p>
          <w:p w14:paraId="6BABB65B" w14:textId="1E8EFF05" w:rsidR="00982678" w:rsidRPr="0060124A" w:rsidRDefault="00982678" w:rsidP="0060124A">
            <w:pPr>
              <w:rPr>
                <w:sz w:val="20"/>
                <w:szCs w:val="20"/>
              </w:rPr>
            </w:pPr>
            <w:r w:rsidRPr="0060124A">
              <w:rPr>
                <w:sz w:val="20"/>
                <w:szCs w:val="20"/>
              </w:rPr>
              <w:t>SDFFP: once thawed 8 hours at 22</w:t>
            </w:r>
            <w:r w:rsidRPr="0060124A">
              <w:rPr>
                <w:sz w:val="20"/>
                <w:szCs w:val="20"/>
                <w:vertAlign w:val="superscript"/>
              </w:rPr>
              <w:t>o</w:t>
            </w:r>
            <w:r w:rsidRPr="0060124A">
              <w:rPr>
                <w:sz w:val="20"/>
                <w:szCs w:val="20"/>
              </w:rPr>
              <w:t>C or 5 days at 4</w:t>
            </w:r>
            <w:r w:rsidRPr="0060124A">
              <w:rPr>
                <w:sz w:val="20"/>
                <w:szCs w:val="20"/>
                <w:vertAlign w:val="superscript"/>
              </w:rPr>
              <w:t xml:space="preserve"> o</w:t>
            </w:r>
            <w:r w:rsidRPr="0060124A">
              <w:rPr>
                <w:sz w:val="20"/>
                <w:szCs w:val="20"/>
              </w:rPr>
              <w:t xml:space="preserve">C </w:t>
            </w:r>
          </w:p>
        </w:tc>
        <w:tc>
          <w:tcPr>
            <w:tcW w:w="1838" w:type="dxa"/>
          </w:tcPr>
          <w:p w14:paraId="357FB5A6" w14:textId="69E1C134" w:rsidR="00982678" w:rsidRPr="0060124A" w:rsidRDefault="00982678" w:rsidP="0060124A">
            <w:pPr>
              <w:rPr>
                <w:sz w:val="20"/>
                <w:szCs w:val="20"/>
              </w:rPr>
            </w:pPr>
            <w:r w:rsidRPr="0060124A">
              <w:rPr>
                <w:sz w:val="20"/>
                <w:szCs w:val="20"/>
              </w:rPr>
              <w:t xml:space="preserve">FFP: </w:t>
            </w:r>
            <w:r w:rsidR="00174C77">
              <w:rPr>
                <w:sz w:val="20"/>
                <w:szCs w:val="20"/>
              </w:rPr>
              <w:t>m</w:t>
            </w:r>
            <w:r w:rsidR="00174C77" w:rsidRPr="0060124A">
              <w:rPr>
                <w:sz w:val="20"/>
                <w:szCs w:val="20"/>
              </w:rPr>
              <w:t xml:space="preserve">ean </w:t>
            </w:r>
            <w:r w:rsidRPr="0060124A">
              <w:rPr>
                <w:sz w:val="20"/>
                <w:szCs w:val="20"/>
              </w:rPr>
              <w:t>pack volume is 273 m</w:t>
            </w:r>
            <w:r w:rsidR="00174C77">
              <w:rPr>
                <w:sz w:val="20"/>
                <w:szCs w:val="20"/>
              </w:rPr>
              <w:t>l</w:t>
            </w:r>
            <w:r w:rsidRPr="0060124A">
              <w:rPr>
                <w:sz w:val="20"/>
                <w:szCs w:val="20"/>
              </w:rPr>
              <w:t xml:space="preserve"> +/- 17 m</w:t>
            </w:r>
            <w:r w:rsidR="00174C77">
              <w:rPr>
                <w:sz w:val="20"/>
                <w:szCs w:val="20"/>
              </w:rPr>
              <w:t>l</w:t>
            </w:r>
          </w:p>
          <w:p w14:paraId="7F686D0E" w14:textId="77777777" w:rsidR="00982678" w:rsidRPr="0060124A" w:rsidRDefault="00982678" w:rsidP="0060124A">
            <w:pPr>
              <w:rPr>
                <w:sz w:val="20"/>
                <w:szCs w:val="20"/>
              </w:rPr>
            </w:pPr>
          </w:p>
          <w:p w14:paraId="642CA46D" w14:textId="77777777" w:rsidR="00982678" w:rsidRPr="0060124A" w:rsidRDefault="00982678" w:rsidP="0060124A">
            <w:pPr>
              <w:rPr>
                <w:sz w:val="20"/>
                <w:szCs w:val="20"/>
              </w:rPr>
            </w:pPr>
          </w:p>
          <w:p w14:paraId="1FACCAA2" w14:textId="4B9240E5" w:rsidR="00982678" w:rsidRDefault="00982678" w:rsidP="0060124A">
            <w:pPr>
              <w:rPr>
                <w:sz w:val="20"/>
                <w:szCs w:val="20"/>
              </w:rPr>
            </w:pPr>
          </w:p>
          <w:p w14:paraId="44D0796B" w14:textId="77777777" w:rsidR="0060124A" w:rsidRPr="0060124A" w:rsidRDefault="0060124A" w:rsidP="0060124A">
            <w:pPr>
              <w:rPr>
                <w:sz w:val="20"/>
                <w:szCs w:val="20"/>
              </w:rPr>
            </w:pPr>
          </w:p>
          <w:p w14:paraId="42E664F2" w14:textId="14BDE76C" w:rsidR="00982678" w:rsidRPr="0060124A" w:rsidRDefault="00982678" w:rsidP="0060124A">
            <w:pPr>
              <w:rPr>
                <w:sz w:val="20"/>
                <w:szCs w:val="20"/>
              </w:rPr>
            </w:pPr>
            <w:r w:rsidRPr="0060124A">
              <w:rPr>
                <w:sz w:val="20"/>
                <w:szCs w:val="20"/>
              </w:rPr>
              <w:t>SDFFP 200 m</w:t>
            </w:r>
            <w:r w:rsidR="00174C77">
              <w:rPr>
                <w:sz w:val="20"/>
                <w:szCs w:val="20"/>
              </w:rPr>
              <w:t>l</w:t>
            </w:r>
          </w:p>
        </w:tc>
        <w:tc>
          <w:tcPr>
            <w:tcW w:w="2268" w:type="dxa"/>
          </w:tcPr>
          <w:p w14:paraId="1BBB6551" w14:textId="5463D38E" w:rsidR="00982678" w:rsidRPr="0060124A" w:rsidRDefault="00982678" w:rsidP="0060124A">
            <w:pPr>
              <w:rPr>
                <w:sz w:val="20"/>
                <w:szCs w:val="20"/>
              </w:rPr>
            </w:pPr>
            <w:r w:rsidRPr="0060124A">
              <w:rPr>
                <w:sz w:val="20"/>
                <w:szCs w:val="20"/>
              </w:rPr>
              <w:t xml:space="preserve">FFP:  order 15-20 </w:t>
            </w:r>
            <w:r w:rsidR="00174C77" w:rsidRPr="0060124A">
              <w:rPr>
                <w:sz w:val="20"/>
                <w:szCs w:val="20"/>
              </w:rPr>
              <w:t>m</w:t>
            </w:r>
            <w:r w:rsidR="00174C77">
              <w:rPr>
                <w:sz w:val="20"/>
                <w:szCs w:val="20"/>
              </w:rPr>
              <w:t>l</w:t>
            </w:r>
            <w:r w:rsidRPr="0060124A">
              <w:rPr>
                <w:sz w:val="20"/>
                <w:szCs w:val="20"/>
              </w:rPr>
              <w:t xml:space="preserve">/kg in first instance. </w:t>
            </w:r>
          </w:p>
        </w:tc>
        <w:tc>
          <w:tcPr>
            <w:tcW w:w="4961" w:type="dxa"/>
          </w:tcPr>
          <w:p w14:paraId="7F2AA040" w14:textId="77777777" w:rsidR="00982678" w:rsidRPr="0060124A" w:rsidRDefault="00982678" w:rsidP="0060124A">
            <w:pPr>
              <w:rPr>
                <w:sz w:val="20"/>
                <w:szCs w:val="20"/>
              </w:rPr>
            </w:pPr>
            <w:r w:rsidRPr="0060124A">
              <w:rPr>
                <w:sz w:val="20"/>
                <w:szCs w:val="20"/>
              </w:rPr>
              <w:t>Allow time for thawing – order in anticipation.  Familiarise yourself with whether the hospital has a pre-thawed plasma policy</w:t>
            </w:r>
          </w:p>
        </w:tc>
      </w:tr>
      <w:tr w:rsidR="00982678" w:rsidRPr="0060124A" w14:paraId="0E421DDB" w14:textId="77777777" w:rsidTr="0060124A">
        <w:tc>
          <w:tcPr>
            <w:tcW w:w="2172" w:type="dxa"/>
          </w:tcPr>
          <w:p w14:paraId="7C4C3AC8" w14:textId="77777777" w:rsidR="00982678" w:rsidRPr="0060124A" w:rsidRDefault="00982678" w:rsidP="0060124A">
            <w:pPr>
              <w:rPr>
                <w:sz w:val="20"/>
                <w:szCs w:val="20"/>
              </w:rPr>
            </w:pPr>
            <w:r w:rsidRPr="0060124A">
              <w:rPr>
                <w:sz w:val="20"/>
                <w:szCs w:val="20"/>
              </w:rPr>
              <w:t>Platelets -</w:t>
            </w:r>
          </w:p>
          <w:p w14:paraId="13780CE2" w14:textId="14B7C6B4" w:rsidR="00982678" w:rsidRPr="0060124A" w:rsidRDefault="00174C77" w:rsidP="0060124A">
            <w:pPr>
              <w:rPr>
                <w:sz w:val="20"/>
                <w:szCs w:val="20"/>
              </w:rPr>
            </w:pPr>
            <w:r>
              <w:rPr>
                <w:sz w:val="20"/>
                <w:szCs w:val="20"/>
              </w:rPr>
              <w:t>a</w:t>
            </w:r>
            <w:r w:rsidRPr="0060124A">
              <w:rPr>
                <w:sz w:val="20"/>
                <w:szCs w:val="20"/>
              </w:rPr>
              <w:t xml:space="preserve">pheresis </w:t>
            </w:r>
            <w:r w:rsidR="00982678" w:rsidRPr="0060124A">
              <w:rPr>
                <w:sz w:val="20"/>
                <w:szCs w:val="20"/>
              </w:rPr>
              <w:t>from a single donor or pooled from 4 whole blood donations</w:t>
            </w:r>
          </w:p>
        </w:tc>
        <w:tc>
          <w:tcPr>
            <w:tcW w:w="2126" w:type="dxa"/>
          </w:tcPr>
          <w:p w14:paraId="7F930840" w14:textId="77777777" w:rsidR="00982678" w:rsidRPr="0060124A" w:rsidRDefault="00982678" w:rsidP="0060124A">
            <w:pPr>
              <w:rPr>
                <w:sz w:val="20"/>
                <w:szCs w:val="20"/>
              </w:rPr>
            </w:pPr>
            <w:r w:rsidRPr="0060124A">
              <w:rPr>
                <w:sz w:val="20"/>
                <w:szCs w:val="20"/>
              </w:rPr>
              <w:t>Up to 7 days at 22 +/- 2</w:t>
            </w:r>
            <w:r w:rsidRPr="0060124A">
              <w:rPr>
                <w:sz w:val="20"/>
                <w:szCs w:val="20"/>
                <w:vertAlign w:val="superscript"/>
              </w:rPr>
              <w:t>o</w:t>
            </w:r>
            <w:r w:rsidRPr="0060124A">
              <w:rPr>
                <w:sz w:val="20"/>
                <w:szCs w:val="20"/>
              </w:rPr>
              <w:t>C on an agitator rack</w:t>
            </w:r>
          </w:p>
        </w:tc>
        <w:tc>
          <w:tcPr>
            <w:tcW w:w="1838" w:type="dxa"/>
          </w:tcPr>
          <w:p w14:paraId="46B06A66" w14:textId="54551911" w:rsidR="00982678" w:rsidRPr="0060124A" w:rsidRDefault="00982678" w:rsidP="0060124A">
            <w:pPr>
              <w:rPr>
                <w:sz w:val="20"/>
                <w:szCs w:val="20"/>
              </w:rPr>
            </w:pPr>
            <w:r w:rsidRPr="0060124A">
              <w:rPr>
                <w:sz w:val="20"/>
                <w:szCs w:val="20"/>
              </w:rPr>
              <w:t xml:space="preserve">Apheresis </w:t>
            </w:r>
            <w:r w:rsidR="00174C77">
              <w:rPr>
                <w:sz w:val="20"/>
                <w:szCs w:val="20"/>
              </w:rPr>
              <w:t>m</w:t>
            </w:r>
            <w:r w:rsidR="00174C77" w:rsidRPr="0060124A">
              <w:rPr>
                <w:sz w:val="20"/>
                <w:szCs w:val="20"/>
              </w:rPr>
              <w:t xml:space="preserve">ean </w:t>
            </w:r>
            <w:r w:rsidRPr="0060124A">
              <w:rPr>
                <w:sz w:val="20"/>
                <w:szCs w:val="20"/>
              </w:rPr>
              <w:t xml:space="preserve">pack volume: 215 </w:t>
            </w:r>
            <w:r w:rsidR="00174C77" w:rsidRPr="0060124A">
              <w:rPr>
                <w:sz w:val="20"/>
                <w:szCs w:val="20"/>
              </w:rPr>
              <w:t>m</w:t>
            </w:r>
            <w:r w:rsidR="00174C77">
              <w:rPr>
                <w:sz w:val="20"/>
                <w:szCs w:val="20"/>
              </w:rPr>
              <w:t>l</w:t>
            </w:r>
            <w:r w:rsidR="00174C77" w:rsidRPr="0060124A">
              <w:rPr>
                <w:sz w:val="20"/>
                <w:szCs w:val="20"/>
              </w:rPr>
              <w:t xml:space="preserve"> </w:t>
            </w:r>
            <w:r w:rsidRPr="0060124A">
              <w:rPr>
                <w:sz w:val="20"/>
                <w:szCs w:val="20"/>
              </w:rPr>
              <w:t xml:space="preserve">+/- 53 </w:t>
            </w:r>
            <w:r w:rsidR="00174C77" w:rsidRPr="0060124A">
              <w:rPr>
                <w:sz w:val="20"/>
                <w:szCs w:val="20"/>
              </w:rPr>
              <w:t>m</w:t>
            </w:r>
            <w:r w:rsidR="00174C77">
              <w:rPr>
                <w:sz w:val="20"/>
                <w:szCs w:val="20"/>
              </w:rPr>
              <w:t>l</w:t>
            </w:r>
            <w:r w:rsidRPr="0060124A">
              <w:rPr>
                <w:sz w:val="20"/>
                <w:szCs w:val="20"/>
              </w:rPr>
              <w:t>.</w:t>
            </w:r>
          </w:p>
          <w:p w14:paraId="78EE9B4D" w14:textId="77777777" w:rsidR="00982678" w:rsidRPr="0060124A" w:rsidRDefault="00982678" w:rsidP="0060124A">
            <w:pPr>
              <w:rPr>
                <w:sz w:val="20"/>
                <w:szCs w:val="20"/>
              </w:rPr>
            </w:pPr>
            <w:r w:rsidRPr="0060124A">
              <w:rPr>
                <w:sz w:val="20"/>
                <w:szCs w:val="20"/>
              </w:rPr>
              <w:t>Pooled:</w:t>
            </w:r>
          </w:p>
          <w:p w14:paraId="74C8C76A" w14:textId="68968B11" w:rsidR="00982678" w:rsidRPr="0060124A" w:rsidRDefault="00982678" w:rsidP="0060124A">
            <w:pPr>
              <w:rPr>
                <w:sz w:val="20"/>
                <w:szCs w:val="20"/>
              </w:rPr>
            </w:pPr>
            <w:r w:rsidRPr="0060124A">
              <w:rPr>
                <w:sz w:val="20"/>
                <w:szCs w:val="20"/>
              </w:rPr>
              <w:t xml:space="preserve">310 </w:t>
            </w:r>
            <w:r w:rsidR="00174C77" w:rsidRPr="0060124A">
              <w:rPr>
                <w:sz w:val="20"/>
                <w:szCs w:val="20"/>
              </w:rPr>
              <w:t>m</w:t>
            </w:r>
            <w:r w:rsidR="00174C77">
              <w:rPr>
                <w:sz w:val="20"/>
                <w:szCs w:val="20"/>
              </w:rPr>
              <w:t>l</w:t>
            </w:r>
            <w:r w:rsidR="00174C77" w:rsidRPr="0060124A">
              <w:rPr>
                <w:sz w:val="20"/>
                <w:szCs w:val="20"/>
              </w:rPr>
              <w:t xml:space="preserve"> </w:t>
            </w:r>
            <w:r w:rsidRPr="0060124A">
              <w:rPr>
                <w:sz w:val="20"/>
                <w:szCs w:val="20"/>
              </w:rPr>
              <w:t>+/- 33</w:t>
            </w:r>
            <w:r w:rsidR="00174C77">
              <w:rPr>
                <w:sz w:val="20"/>
                <w:szCs w:val="20"/>
              </w:rPr>
              <w:t xml:space="preserve"> </w:t>
            </w:r>
            <w:r w:rsidR="00174C77" w:rsidRPr="0060124A">
              <w:rPr>
                <w:sz w:val="20"/>
                <w:szCs w:val="20"/>
              </w:rPr>
              <w:t>m</w:t>
            </w:r>
            <w:r w:rsidR="00174C77">
              <w:rPr>
                <w:sz w:val="20"/>
                <w:szCs w:val="20"/>
              </w:rPr>
              <w:t>l</w:t>
            </w:r>
          </w:p>
        </w:tc>
        <w:tc>
          <w:tcPr>
            <w:tcW w:w="2268" w:type="dxa"/>
          </w:tcPr>
          <w:p w14:paraId="559723D2" w14:textId="7261E756" w:rsidR="00982678" w:rsidRPr="0060124A" w:rsidRDefault="00982678" w:rsidP="0060124A">
            <w:pPr>
              <w:rPr>
                <w:sz w:val="20"/>
                <w:szCs w:val="20"/>
              </w:rPr>
            </w:pPr>
            <w:r w:rsidRPr="0060124A">
              <w:rPr>
                <w:sz w:val="20"/>
                <w:szCs w:val="20"/>
              </w:rPr>
              <w:t>Order 1 adult therapeutic dose, monitor platelet count and aim to maintain platelet count &gt; 50 x 10</w:t>
            </w:r>
            <w:r w:rsidRPr="0060124A">
              <w:rPr>
                <w:sz w:val="20"/>
                <w:szCs w:val="20"/>
                <w:vertAlign w:val="superscript"/>
              </w:rPr>
              <w:t>9</w:t>
            </w:r>
            <w:r w:rsidRPr="0060124A">
              <w:rPr>
                <w:sz w:val="20"/>
                <w:szCs w:val="20"/>
              </w:rPr>
              <w:t>/</w:t>
            </w:r>
            <w:r w:rsidR="00174C77">
              <w:rPr>
                <w:sz w:val="20"/>
                <w:szCs w:val="20"/>
              </w:rPr>
              <w:t>l</w:t>
            </w:r>
            <w:r w:rsidRPr="0060124A">
              <w:rPr>
                <w:sz w:val="20"/>
                <w:szCs w:val="20"/>
              </w:rPr>
              <w:t xml:space="preserve"> </w:t>
            </w:r>
          </w:p>
        </w:tc>
        <w:tc>
          <w:tcPr>
            <w:tcW w:w="4961" w:type="dxa"/>
          </w:tcPr>
          <w:p w14:paraId="224601F0" w14:textId="77777777" w:rsidR="00982678" w:rsidRPr="0060124A" w:rsidRDefault="00982678" w:rsidP="0060124A">
            <w:pPr>
              <w:rPr>
                <w:sz w:val="20"/>
                <w:szCs w:val="20"/>
              </w:rPr>
            </w:pPr>
            <w:r w:rsidRPr="0060124A">
              <w:rPr>
                <w:sz w:val="20"/>
                <w:szCs w:val="20"/>
              </w:rPr>
              <w:t>Use a blood or platelet giving set with integral filter (170-200 micron).</w:t>
            </w:r>
          </w:p>
          <w:p w14:paraId="72C51513" w14:textId="77777777" w:rsidR="00982678" w:rsidRPr="0060124A" w:rsidRDefault="00982678" w:rsidP="0060124A">
            <w:pPr>
              <w:rPr>
                <w:sz w:val="20"/>
                <w:szCs w:val="20"/>
              </w:rPr>
            </w:pPr>
          </w:p>
          <w:p w14:paraId="2051C6AA" w14:textId="1D133EA8" w:rsidR="00D569A5" w:rsidRPr="0060124A" w:rsidRDefault="00982678" w:rsidP="0060124A">
            <w:pPr>
              <w:rPr>
                <w:sz w:val="20"/>
                <w:szCs w:val="20"/>
              </w:rPr>
            </w:pPr>
            <w:r w:rsidRPr="0060124A">
              <w:rPr>
                <w:sz w:val="20"/>
                <w:szCs w:val="20"/>
              </w:rPr>
              <w:t xml:space="preserve">There should be close communication between </w:t>
            </w:r>
            <w:r w:rsidR="00202509" w:rsidRPr="0060124A">
              <w:rPr>
                <w:sz w:val="20"/>
                <w:szCs w:val="20"/>
              </w:rPr>
              <w:t xml:space="preserve">the blood service </w:t>
            </w:r>
            <w:r w:rsidRPr="0060124A">
              <w:rPr>
                <w:sz w:val="20"/>
                <w:szCs w:val="20"/>
              </w:rPr>
              <w:t xml:space="preserve">and </w:t>
            </w:r>
            <w:r w:rsidR="00174C77">
              <w:rPr>
                <w:sz w:val="20"/>
                <w:szCs w:val="20"/>
              </w:rPr>
              <w:t>the t</w:t>
            </w:r>
            <w:r w:rsidRPr="0060124A">
              <w:rPr>
                <w:sz w:val="20"/>
                <w:szCs w:val="20"/>
              </w:rPr>
              <w:t xml:space="preserve">ransfusion </w:t>
            </w:r>
            <w:r w:rsidR="00174C77">
              <w:rPr>
                <w:sz w:val="20"/>
                <w:szCs w:val="20"/>
              </w:rPr>
              <w:t>l</w:t>
            </w:r>
            <w:r w:rsidR="00174C77" w:rsidRPr="0060124A">
              <w:rPr>
                <w:sz w:val="20"/>
                <w:szCs w:val="20"/>
              </w:rPr>
              <w:t xml:space="preserve">aboratory </w:t>
            </w:r>
            <w:r w:rsidRPr="0060124A">
              <w:rPr>
                <w:sz w:val="20"/>
                <w:szCs w:val="20"/>
              </w:rPr>
              <w:t>to enable timely platelet transfusion.  Anticipate need for platelet</w:t>
            </w:r>
            <w:r w:rsidR="000E380D">
              <w:rPr>
                <w:sz w:val="20"/>
                <w:szCs w:val="20"/>
              </w:rPr>
              <w:t xml:space="preserve"> transfusions</w:t>
            </w:r>
            <w:r w:rsidRPr="0060124A">
              <w:rPr>
                <w:sz w:val="20"/>
                <w:szCs w:val="20"/>
              </w:rPr>
              <w:t xml:space="preserve"> in on-going bleeding as platelet count falls </w:t>
            </w:r>
            <w:r w:rsidR="000E380D">
              <w:rPr>
                <w:sz w:val="20"/>
                <w:szCs w:val="20"/>
              </w:rPr>
              <w:t>to near/</w:t>
            </w:r>
            <w:r w:rsidRPr="0060124A">
              <w:rPr>
                <w:sz w:val="20"/>
                <w:szCs w:val="20"/>
              </w:rPr>
              <w:t xml:space="preserve">below </w:t>
            </w:r>
            <w:r w:rsidR="000E380D">
              <w:rPr>
                <w:sz w:val="20"/>
                <w:szCs w:val="20"/>
              </w:rPr>
              <w:t>50</w:t>
            </w:r>
            <w:r w:rsidRPr="0060124A">
              <w:rPr>
                <w:sz w:val="20"/>
                <w:szCs w:val="20"/>
              </w:rPr>
              <w:t xml:space="preserve"> x 10</w:t>
            </w:r>
            <w:r w:rsidRPr="0060124A">
              <w:rPr>
                <w:sz w:val="20"/>
                <w:szCs w:val="20"/>
                <w:vertAlign w:val="superscript"/>
              </w:rPr>
              <w:t>9</w:t>
            </w:r>
            <w:r w:rsidRPr="0060124A">
              <w:rPr>
                <w:sz w:val="20"/>
                <w:szCs w:val="20"/>
              </w:rPr>
              <w:t>/</w:t>
            </w:r>
            <w:r w:rsidR="00174C77">
              <w:rPr>
                <w:sz w:val="20"/>
                <w:szCs w:val="20"/>
              </w:rPr>
              <w:t>l</w:t>
            </w:r>
            <w:r w:rsidR="000E380D">
              <w:rPr>
                <w:sz w:val="20"/>
                <w:szCs w:val="20"/>
              </w:rPr>
              <w:t>.</w:t>
            </w:r>
          </w:p>
          <w:p w14:paraId="0DC65F49" w14:textId="5DA8CC49" w:rsidR="00982678" w:rsidRPr="0060124A" w:rsidRDefault="00D569A5" w:rsidP="0060124A">
            <w:pPr>
              <w:rPr>
                <w:sz w:val="20"/>
                <w:szCs w:val="20"/>
              </w:rPr>
            </w:pPr>
            <w:r w:rsidRPr="0060124A">
              <w:rPr>
                <w:sz w:val="20"/>
                <w:szCs w:val="20"/>
              </w:rPr>
              <w:t>If no platelets are available on site, the clinical team must be informed with an approximate ETA</w:t>
            </w:r>
            <w:r w:rsidR="00982678" w:rsidRPr="0060124A">
              <w:rPr>
                <w:sz w:val="20"/>
                <w:szCs w:val="20"/>
              </w:rPr>
              <w:t xml:space="preserve"> </w:t>
            </w:r>
          </w:p>
        </w:tc>
      </w:tr>
      <w:tr w:rsidR="00982678" w:rsidRPr="0060124A" w14:paraId="3B54E634" w14:textId="77777777" w:rsidTr="0060124A">
        <w:tc>
          <w:tcPr>
            <w:tcW w:w="2172" w:type="dxa"/>
          </w:tcPr>
          <w:p w14:paraId="19802617" w14:textId="77777777" w:rsidR="00982678" w:rsidRPr="0060124A" w:rsidRDefault="00982678" w:rsidP="0060124A">
            <w:pPr>
              <w:rPr>
                <w:sz w:val="20"/>
                <w:szCs w:val="20"/>
              </w:rPr>
            </w:pPr>
            <w:r w:rsidRPr="0060124A">
              <w:rPr>
                <w:sz w:val="20"/>
                <w:szCs w:val="20"/>
              </w:rPr>
              <w:t>Cryoprecipitate</w:t>
            </w:r>
          </w:p>
          <w:p w14:paraId="6441F76D" w14:textId="01775266" w:rsidR="00982678" w:rsidRPr="0060124A" w:rsidRDefault="00982678" w:rsidP="0060124A">
            <w:pPr>
              <w:rPr>
                <w:sz w:val="20"/>
                <w:szCs w:val="20"/>
              </w:rPr>
            </w:pPr>
            <w:r w:rsidRPr="0060124A">
              <w:rPr>
                <w:sz w:val="20"/>
                <w:szCs w:val="20"/>
              </w:rPr>
              <w:t>(pooled from 5 donations)</w:t>
            </w:r>
          </w:p>
        </w:tc>
        <w:tc>
          <w:tcPr>
            <w:tcW w:w="2126" w:type="dxa"/>
          </w:tcPr>
          <w:p w14:paraId="51BDFDD8" w14:textId="77777777" w:rsidR="00982678" w:rsidRPr="0060124A" w:rsidRDefault="00982678" w:rsidP="00194E28">
            <w:pPr>
              <w:jc w:val="both"/>
              <w:rPr>
                <w:sz w:val="20"/>
                <w:szCs w:val="20"/>
              </w:rPr>
            </w:pPr>
            <w:r w:rsidRPr="0060124A">
              <w:rPr>
                <w:sz w:val="20"/>
                <w:szCs w:val="20"/>
              </w:rPr>
              <w:t>36 months when frozen.</w:t>
            </w:r>
          </w:p>
          <w:p w14:paraId="64D3707E" w14:textId="1A925403" w:rsidR="00982678" w:rsidRPr="0060124A" w:rsidRDefault="00982678" w:rsidP="00194E28">
            <w:pPr>
              <w:jc w:val="both"/>
              <w:rPr>
                <w:sz w:val="20"/>
                <w:szCs w:val="20"/>
              </w:rPr>
            </w:pPr>
            <w:r w:rsidRPr="0060124A">
              <w:rPr>
                <w:sz w:val="20"/>
                <w:szCs w:val="20"/>
              </w:rPr>
              <w:t>Cryoprecipitate can be stored for up to 4 hours at ambient temperature</w:t>
            </w:r>
            <w:r w:rsidR="004A19C4" w:rsidRPr="0060124A">
              <w:rPr>
                <w:sz w:val="20"/>
                <w:szCs w:val="20"/>
              </w:rPr>
              <w:t xml:space="preserve">.  Do not refrigerate </w:t>
            </w:r>
            <w:r w:rsidR="00174C77" w:rsidRPr="0060124A">
              <w:rPr>
                <w:sz w:val="20"/>
                <w:szCs w:val="20"/>
              </w:rPr>
              <w:t>post</w:t>
            </w:r>
            <w:r w:rsidR="00174C77">
              <w:rPr>
                <w:sz w:val="20"/>
                <w:szCs w:val="20"/>
              </w:rPr>
              <w:t>-</w:t>
            </w:r>
            <w:r w:rsidR="004A19C4" w:rsidRPr="0060124A">
              <w:rPr>
                <w:sz w:val="20"/>
                <w:szCs w:val="20"/>
              </w:rPr>
              <w:t>thaw.</w:t>
            </w:r>
          </w:p>
        </w:tc>
        <w:tc>
          <w:tcPr>
            <w:tcW w:w="1838" w:type="dxa"/>
          </w:tcPr>
          <w:p w14:paraId="1E8F744F" w14:textId="48BEF75D" w:rsidR="00982678" w:rsidRPr="0060124A" w:rsidRDefault="00982678" w:rsidP="00194E28">
            <w:pPr>
              <w:jc w:val="both"/>
              <w:rPr>
                <w:sz w:val="20"/>
                <w:szCs w:val="20"/>
              </w:rPr>
            </w:pPr>
            <w:r w:rsidRPr="0060124A">
              <w:rPr>
                <w:sz w:val="20"/>
                <w:szCs w:val="20"/>
              </w:rPr>
              <w:t xml:space="preserve">Mean pack volume is 152 </w:t>
            </w:r>
            <w:r w:rsidR="00174C77" w:rsidRPr="0060124A">
              <w:rPr>
                <w:sz w:val="20"/>
                <w:szCs w:val="20"/>
              </w:rPr>
              <w:t>m</w:t>
            </w:r>
            <w:r w:rsidR="00174C77">
              <w:rPr>
                <w:sz w:val="20"/>
                <w:szCs w:val="20"/>
              </w:rPr>
              <w:t>l</w:t>
            </w:r>
            <w:r w:rsidR="00174C77" w:rsidRPr="0060124A">
              <w:rPr>
                <w:sz w:val="20"/>
                <w:szCs w:val="20"/>
              </w:rPr>
              <w:t xml:space="preserve"> </w:t>
            </w:r>
            <w:r w:rsidRPr="0060124A">
              <w:rPr>
                <w:sz w:val="20"/>
                <w:szCs w:val="20"/>
              </w:rPr>
              <w:t xml:space="preserve">+/-12 </w:t>
            </w:r>
            <w:r w:rsidR="00174C77" w:rsidRPr="0060124A">
              <w:rPr>
                <w:sz w:val="20"/>
                <w:szCs w:val="20"/>
              </w:rPr>
              <w:t>m</w:t>
            </w:r>
            <w:r w:rsidR="00174C77">
              <w:rPr>
                <w:sz w:val="20"/>
                <w:szCs w:val="20"/>
              </w:rPr>
              <w:t>l</w:t>
            </w:r>
          </w:p>
        </w:tc>
        <w:tc>
          <w:tcPr>
            <w:tcW w:w="2268" w:type="dxa"/>
          </w:tcPr>
          <w:p w14:paraId="006DB42C" w14:textId="61249269" w:rsidR="00982678" w:rsidRPr="0060124A" w:rsidRDefault="00982678" w:rsidP="00194E28">
            <w:pPr>
              <w:jc w:val="both"/>
              <w:rPr>
                <w:sz w:val="20"/>
                <w:szCs w:val="20"/>
              </w:rPr>
            </w:pPr>
            <w:r w:rsidRPr="0060124A">
              <w:rPr>
                <w:sz w:val="20"/>
                <w:szCs w:val="20"/>
              </w:rPr>
              <w:t xml:space="preserve">Order 2 packs (2 x </w:t>
            </w:r>
            <w:r w:rsidR="00533C54" w:rsidRPr="0060124A">
              <w:rPr>
                <w:sz w:val="20"/>
                <w:szCs w:val="20"/>
              </w:rPr>
              <w:t>5-unit</w:t>
            </w:r>
            <w:r w:rsidRPr="0060124A">
              <w:rPr>
                <w:sz w:val="20"/>
                <w:szCs w:val="20"/>
              </w:rPr>
              <w:t xml:space="preserve"> pools) and aim to keep fibrinogen &gt; 1.5 g/</w:t>
            </w:r>
            <w:r w:rsidR="00174C77">
              <w:rPr>
                <w:sz w:val="20"/>
                <w:szCs w:val="20"/>
              </w:rPr>
              <w:t>l</w:t>
            </w:r>
            <w:r w:rsidRPr="0060124A">
              <w:rPr>
                <w:sz w:val="20"/>
                <w:szCs w:val="20"/>
              </w:rPr>
              <w:t xml:space="preserve">. </w:t>
            </w:r>
            <w:r w:rsidR="00A75559" w:rsidRPr="0060124A">
              <w:rPr>
                <w:sz w:val="20"/>
                <w:szCs w:val="20"/>
              </w:rPr>
              <w:t>2 packs contain 3-6</w:t>
            </w:r>
            <w:r w:rsidR="00174C77">
              <w:rPr>
                <w:sz w:val="20"/>
                <w:szCs w:val="20"/>
              </w:rPr>
              <w:t xml:space="preserve"> </w:t>
            </w:r>
            <w:r w:rsidR="00A75559" w:rsidRPr="0060124A">
              <w:rPr>
                <w:sz w:val="20"/>
                <w:szCs w:val="20"/>
              </w:rPr>
              <w:t>g fibrinogen in a volume of 300-500</w:t>
            </w:r>
            <w:r w:rsidR="00174C77">
              <w:rPr>
                <w:sz w:val="20"/>
                <w:szCs w:val="20"/>
              </w:rPr>
              <w:t xml:space="preserve"> </w:t>
            </w:r>
            <w:r w:rsidR="00A75559" w:rsidRPr="0060124A">
              <w:rPr>
                <w:sz w:val="20"/>
                <w:szCs w:val="20"/>
              </w:rPr>
              <w:t>ml</w:t>
            </w:r>
          </w:p>
        </w:tc>
        <w:tc>
          <w:tcPr>
            <w:tcW w:w="4961" w:type="dxa"/>
          </w:tcPr>
          <w:p w14:paraId="0BA5BBAD" w14:textId="77777777" w:rsidR="00982678" w:rsidRPr="0060124A" w:rsidRDefault="00982678" w:rsidP="00194E28">
            <w:pPr>
              <w:jc w:val="both"/>
              <w:rPr>
                <w:sz w:val="20"/>
                <w:szCs w:val="20"/>
              </w:rPr>
            </w:pPr>
          </w:p>
          <w:p w14:paraId="701D9E75" w14:textId="77777777" w:rsidR="00982678" w:rsidRPr="0060124A" w:rsidRDefault="00982678" w:rsidP="00194E28">
            <w:pPr>
              <w:jc w:val="both"/>
              <w:rPr>
                <w:sz w:val="20"/>
                <w:szCs w:val="20"/>
              </w:rPr>
            </w:pPr>
            <w:r w:rsidRPr="0060124A">
              <w:rPr>
                <w:sz w:val="20"/>
                <w:szCs w:val="20"/>
              </w:rPr>
              <w:t xml:space="preserve">Allow time for thawing – order in anticipation.  </w:t>
            </w:r>
          </w:p>
        </w:tc>
      </w:tr>
    </w:tbl>
    <w:p w14:paraId="2D5E33A0" w14:textId="0FC8E1C8" w:rsidR="00E201FF" w:rsidRPr="0089540B" w:rsidRDefault="00982678" w:rsidP="0089540B">
      <w:pPr>
        <w:jc w:val="both"/>
        <w:rPr>
          <w:sz w:val="18"/>
          <w:szCs w:val="18"/>
        </w:rPr>
        <w:sectPr w:rsidR="00E201FF" w:rsidRPr="0089540B" w:rsidSect="00AA578A">
          <w:pgSz w:w="16838" w:h="11906" w:orient="landscape"/>
          <w:pgMar w:top="1440" w:right="1440" w:bottom="1440" w:left="1440" w:header="708" w:footer="708" w:gutter="0"/>
          <w:cols w:space="708"/>
          <w:docGrid w:linePitch="360"/>
        </w:sectPr>
      </w:pPr>
      <w:r w:rsidRPr="0060124A">
        <w:rPr>
          <w:sz w:val="18"/>
          <w:szCs w:val="18"/>
          <w:lang w:eastAsia="ja-JP"/>
        </w:rPr>
        <w:t xml:space="preserve">Details about neonatal / paediatric specifications for major bleeding and locally agreed concessionary release policy for acceptable alternatives for emergency use </w:t>
      </w:r>
      <w:r w:rsidR="006F22AD">
        <w:rPr>
          <w:sz w:val="18"/>
          <w:szCs w:val="18"/>
          <w:lang w:eastAsia="ja-JP"/>
        </w:rPr>
        <w:t>can be found</w:t>
      </w:r>
      <w:r w:rsidRPr="0060124A">
        <w:rPr>
          <w:sz w:val="18"/>
          <w:szCs w:val="18"/>
          <w:lang w:eastAsia="ja-JP"/>
        </w:rPr>
        <w:t xml:space="preserve"> </w:t>
      </w:r>
      <w:r w:rsidR="00D84303">
        <w:rPr>
          <w:sz w:val="18"/>
          <w:szCs w:val="18"/>
          <w:lang w:eastAsia="ja-JP"/>
        </w:rPr>
        <w:t xml:space="preserve">in </w:t>
      </w:r>
      <w:r w:rsidRPr="0060124A">
        <w:rPr>
          <w:sz w:val="18"/>
          <w:szCs w:val="18"/>
          <w:lang w:eastAsia="ja-JP"/>
        </w:rPr>
        <w:t>BSH guidelines on paediatric and neonatal transfusion</w:t>
      </w:r>
      <w:r w:rsidR="00797D8A" w:rsidRPr="0060124A">
        <w:rPr>
          <w:sz w:val="18"/>
          <w:szCs w:val="18"/>
          <w:lang w:eastAsia="ja-JP"/>
        </w:rPr>
        <w:t>.</w:t>
      </w:r>
      <w:r w:rsidR="00630FAC">
        <w:rPr>
          <w:sz w:val="18"/>
          <w:szCs w:val="18"/>
          <w:vertAlign w:val="superscript"/>
          <w:lang w:eastAsia="ja-JP"/>
        </w:rPr>
        <w:t>2</w:t>
      </w:r>
      <w:r w:rsidR="00935D26">
        <w:rPr>
          <w:sz w:val="18"/>
          <w:szCs w:val="18"/>
          <w:vertAlign w:val="superscript"/>
          <w:lang w:eastAsia="ja-JP"/>
        </w:rPr>
        <w:t>8</w:t>
      </w:r>
      <w:r w:rsidR="00797D8A" w:rsidRPr="0060124A">
        <w:rPr>
          <w:sz w:val="18"/>
          <w:szCs w:val="18"/>
          <w:lang w:eastAsia="ja-JP"/>
        </w:rPr>
        <w:t xml:space="preserve"> </w:t>
      </w:r>
      <w:r w:rsidR="00096976">
        <w:rPr>
          <w:sz w:val="18"/>
          <w:szCs w:val="18"/>
          <w:lang w:eastAsia="ja-JP"/>
        </w:rPr>
        <w:t xml:space="preserve">  </w:t>
      </w:r>
      <w:r w:rsidR="00174C77" w:rsidRPr="0089540B">
        <w:rPr>
          <w:sz w:val="18"/>
          <w:szCs w:val="18"/>
        </w:rPr>
        <w:t>ETA, expected time of arrival.</w:t>
      </w:r>
    </w:p>
    <w:p w14:paraId="6FAB619D" w14:textId="76625E66" w:rsidR="00F3162C" w:rsidRDefault="00F3162C" w:rsidP="0060124A"/>
    <w:p w14:paraId="1F187810" w14:textId="3358897B" w:rsidR="0060124A" w:rsidRDefault="0060124A" w:rsidP="000C30D2">
      <w:pPr>
        <w:rPr>
          <w:b/>
          <w:bCs/>
        </w:rPr>
      </w:pPr>
    </w:p>
    <w:sectPr w:rsidR="0060124A" w:rsidSect="0060124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54FB57" w14:textId="77777777" w:rsidR="00F75DFF" w:rsidRDefault="00F75DFF" w:rsidP="00805CBA">
      <w:r>
        <w:separator/>
      </w:r>
    </w:p>
  </w:endnote>
  <w:endnote w:type="continuationSeparator" w:id="0">
    <w:p w14:paraId="4E62468E" w14:textId="77777777" w:rsidR="00F75DFF" w:rsidRDefault="00F75DFF" w:rsidP="00805CBA">
      <w:r>
        <w:continuationSeparator/>
      </w:r>
    </w:p>
  </w:endnote>
  <w:endnote w:type="continuationNotice" w:id="1">
    <w:p w14:paraId="5937A62B" w14:textId="77777777" w:rsidR="00F75DFF" w:rsidRDefault="00F75D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1CAAD" w14:textId="77777777" w:rsidR="00CA0B7C" w:rsidRDefault="00CA0B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559958"/>
      <w:docPartObj>
        <w:docPartGallery w:val="Page Numbers (Bottom of Page)"/>
        <w:docPartUnique/>
      </w:docPartObj>
    </w:sdtPr>
    <w:sdtEndPr>
      <w:rPr>
        <w:noProof/>
      </w:rPr>
    </w:sdtEndPr>
    <w:sdtContent>
      <w:p w14:paraId="383DBB32" w14:textId="3552D6B2" w:rsidR="00CA0B7C" w:rsidRDefault="00CA0B7C">
        <w:pPr>
          <w:pStyle w:val="Footer"/>
          <w:jc w:val="right"/>
        </w:pPr>
        <w:r>
          <w:fldChar w:fldCharType="begin"/>
        </w:r>
        <w:r>
          <w:instrText xml:space="preserve"> PAGE   \* MERGEFORMAT </w:instrText>
        </w:r>
        <w:r>
          <w:fldChar w:fldCharType="separate"/>
        </w:r>
        <w:r w:rsidR="00E54F1A">
          <w:rPr>
            <w:noProof/>
          </w:rPr>
          <w:t>1</w:t>
        </w:r>
        <w:r>
          <w:rPr>
            <w:noProof/>
          </w:rPr>
          <w:fldChar w:fldCharType="end"/>
        </w:r>
      </w:p>
    </w:sdtContent>
  </w:sdt>
  <w:p w14:paraId="3874DDD5" w14:textId="77777777" w:rsidR="00CA0B7C" w:rsidRDefault="00CA0B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0C6C6" w14:textId="77777777" w:rsidR="00CA0B7C" w:rsidRDefault="00CA0B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88F8C1" w14:textId="77777777" w:rsidR="00F75DFF" w:rsidRDefault="00F75DFF" w:rsidP="00805CBA">
      <w:r>
        <w:separator/>
      </w:r>
    </w:p>
  </w:footnote>
  <w:footnote w:type="continuationSeparator" w:id="0">
    <w:p w14:paraId="7E8C1C4F" w14:textId="77777777" w:rsidR="00F75DFF" w:rsidRDefault="00F75DFF" w:rsidP="00805CBA">
      <w:r>
        <w:continuationSeparator/>
      </w:r>
    </w:p>
  </w:footnote>
  <w:footnote w:type="continuationNotice" w:id="1">
    <w:p w14:paraId="50F548B4" w14:textId="77777777" w:rsidR="00F75DFF" w:rsidRDefault="00F75DF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0BA5F" w14:textId="6584C8E9" w:rsidR="00CA0B7C" w:rsidRDefault="00E54F1A">
    <w:pPr>
      <w:pStyle w:val="Header"/>
    </w:pPr>
    <w:r>
      <w:rPr>
        <w:noProof/>
      </w:rPr>
      <w:pict w14:anchorId="551018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508594" o:spid="_x0000_s2050" type="#_x0000_t136" style="position:absolute;margin-left:0;margin-top:0;width:454.5pt;height:181.8pt;rotation:315;z-index:-251655168;mso-position-horizontal:center;mso-position-horizontal-relative:margin;mso-position-vertical:center;mso-position-vertical-relative:margin" o:allowincell="f" fillcolor="#7f7f7f [1612]"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6A655" w14:textId="5CD216D6" w:rsidR="00CA0B7C" w:rsidRDefault="00E54F1A">
    <w:pPr>
      <w:pStyle w:val="Header"/>
    </w:pPr>
    <w:r>
      <w:rPr>
        <w:noProof/>
      </w:rPr>
      <w:pict w14:anchorId="6E30AF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508595" o:spid="_x0000_s2051" type="#_x0000_t136" style="position:absolute;margin-left:0;margin-top:0;width:454.5pt;height:181.8pt;rotation:315;z-index:-251653120;mso-position-horizontal:center;mso-position-horizontal-relative:margin;mso-position-vertical:center;mso-position-vertical-relative:margin" o:allowincell="f" fillcolor="#7f7f7f [1612]"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20FE5" w14:textId="2C25C3CB" w:rsidR="00CA0B7C" w:rsidRDefault="00E54F1A">
    <w:pPr>
      <w:pStyle w:val="Header"/>
    </w:pPr>
    <w:r>
      <w:rPr>
        <w:noProof/>
      </w:rPr>
      <w:pict w14:anchorId="1B872F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508593" o:spid="_x0000_s2049" type="#_x0000_t136" style="position:absolute;margin-left:0;margin-top:0;width:454.5pt;height:181.8pt;rotation:315;z-index:-251657216;mso-position-horizontal:center;mso-position-horizontal-relative:margin;mso-position-vertical:center;mso-position-vertical-relative:margin" o:allowincell="f" fillcolor="#7f7f7f [1612]"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1E86"/>
    <w:multiLevelType w:val="hybridMultilevel"/>
    <w:tmpl w:val="7A28F4F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7B31800"/>
    <w:multiLevelType w:val="hybridMultilevel"/>
    <w:tmpl w:val="3C5046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EB441B"/>
    <w:multiLevelType w:val="hybridMultilevel"/>
    <w:tmpl w:val="D0DE82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25204C"/>
    <w:multiLevelType w:val="hybridMultilevel"/>
    <w:tmpl w:val="2A0A1E4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nsid w:val="1525512D"/>
    <w:multiLevelType w:val="hybridMultilevel"/>
    <w:tmpl w:val="030896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3715BC"/>
    <w:multiLevelType w:val="hybridMultilevel"/>
    <w:tmpl w:val="1F3ED34E"/>
    <w:lvl w:ilvl="0" w:tplc="23D03AF0">
      <w:start w:val="1"/>
      <w:numFmt w:val="decimal"/>
      <w:lvlText w:val="%1."/>
      <w:lvlJc w:val="left"/>
      <w:pPr>
        <w:ind w:left="360" w:hanging="360"/>
      </w:pPr>
      <w:rPr>
        <w:rFonts w:hint="default"/>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1E1799C"/>
    <w:multiLevelType w:val="hybridMultilevel"/>
    <w:tmpl w:val="EC201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FC60C1"/>
    <w:multiLevelType w:val="hybridMultilevel"/>
    <w:tmpl w:val="3B56E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D9C7551"/>
    <w:multiLevelType w:val="hybridMultilevel"/>
    <w:tmpl w:val="E8F0FDD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9">
    <w:nsid w:val="3B5623DD"/>
    <w:multiLevelType w:val="hybridMultilevel"/>
    <w:tmpl w:val="0E52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E6225C"/>
    <w:multiLevelType w:val="hybridMultilevel"/>
    <w:tmpl w:val="D478861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1D6C01"/>
    <w:multiLevelType w:val="hybridMultilevel"/>
    <w:tmpl w:val="928EB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3B6800"/>
    <w:multiLevelType w:val="hybridMultilevel"/>
    <w:tmpl w:val="AD482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C4446A7"/>
    <w:multiLevelType w:val="hybridMultilevel"/>
    <w:tmpl w:val="4B288CEA"/>
    <w:lvl w:ilvl="0" w:tplc="53BA926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426D7E92"/>
    <w:multiLevelType w:val="hybridMultilevel"/>
    <w:tmpl w:val="BED46D1E"/>
    <w:lvl w:ilvl="0" w:tplc="C4C66DD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49A001C"/>
    <w:multiLevelType w:val="hybridMultilevel"/>
    <w:tmpl w:val="3F400F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4A83381"/>
    <w:multiLevelType w:val="hybridMultilevel"/>
    <w:tmpl w:val="33EEB3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AC5222A"/>
    <w:multiLevelType w:val="hybridMultilevel"/>
    <w:tmpl w:val="9E862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F71518"/>
    <w:multiLevelType w:val="hybridMultilevel"/>
    <w:tmpl w:val="B6B00C9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5AD13E42"/>
    <w:multiLevelType w:val="hybridMultilevel"/>
    <w:tmpl w:val="645A3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D7A54E4"/>
    <w:multiLevelType w:val="hybridMultilevel"/>
    <w:tmpl w:val="F8069C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02655DD"/>
    <w:multiLevelType w:val="hybridMultilevel"/>
    <w:tmpl w:val="9BF23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7963847"/>
    <w:multiLevelType w:val="hybridMultilevel"/>
    <w:tmpl w:val="970643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B1F4CD3"/>
    <w:multiLevelType w:val="hybridMultilevel"/>
    <w:tmpl w:val="19428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C512A44"/>
    <w:multiLevelType w:val="hybridMultilevel"/>
    <w:tmpl w:val="5ED45C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CCA4467"/>
    <w:multiLevelType w:val="hybridMultilevel"/>
    <w:tmpl w:val="DC7AE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1C605D9"/>
    <w:multiLevelType w:val="hybridMultilevel"/>
    <w:tmpl w:val="1BA25444"/>
    <w:lvl w:ilvl="0" w:tplc="08090001">
      <w:start w:val="1"/>
      <w:numFmt w:val="bullet"/>
      <w:lvlText w:val=""/>
      <w:lvlJc w:val="left"/>
      <w:pPr>
        <w:ind w:left="1527" w:hanging="360"/>
      </w:pPr>
      <w:rPr>
        <w:rFonts w:ascii="Symbol" w:hAnsi="Symbol" w:hint="default"/>
      </w:rPr>
    </w:lvl>
    <w:lvl w:ilvl="1" w:tplc="08090003">
      <w:start w:val="1"/>
      <w:numFmt w:val="bullet"/>
      <w:lvlText w:val="o"/>
      <w:lvlJc w:val="left"/>
      <w:pPr>
        <w:ind w:left="2247" w:hanging="360"/>
      </w:pPr>
      <w:rPr>
        <w:rFonts w:ascii="Courier New" w:hAnsi="Courier New" w:cs="Courier New" w:hint="default"/>
      </w:rPr>
    </w:lvl>
    <w:lvl w:ilvl="2" w:tplc="08090005">
      <w:start w:val="1"/>
      <w:numFmt w:val="bullet"/>
      <w:lvlText w:val=""/>
      <w:lvlJc w:val="left"/>
      <w:pPr>
        <w:ind w:left="2967" w:hanging="360"/>
      </w:pPr>
      <w:rPr>
        <w:rFonts w:ascii="Wingdings" w:hAnsi="Wingdings" w:hint="default"/>
      </w:rPr>
    </w:lvl>
    <w:lvl w:ilvl="3" w:tplc="08090001">
      <w:start w:val="1"/>
      <w:numFmt w:val="bullet"/>
      <w:lvlText w:val=""/>
      <w:lvlJc w:val="left"/>
      <w:pPr>
        <w:ind w:left="3687" w:hanging="360"/>
      </w:pPr>
      <w:rPr>
        <w:rFonts w:ascii="Symbol" w:hAnsi="Symbol" w:hint="default"/>
      </w:rPr>
    </w:lvl>
    <w:lvl w:ilvl="4" w:tplc="08090003">
      <w:start w:val="1"/>
      <w:numFmt w:val="bullet"/>
      <w:lvlText w:val="o"/>
      <w:lvlJc w:val="left"/>
      <w:pPr>
        <w:ind w:left="4407" w:hanging="360"/>
      </w:pPr>
      <w:rPr>
        <w:rFonts w:ascii="Courier New" w:hAnsi="Courier New" w:cs="Courier New" w:hint="default"/>
      </w:rPr>
    </w:lvl>
    <w:lvl w:ilvl="5" w:tplc="08090005">
      <w:start w:val="1"/>
      <w:numFmt w:val="bullet"/>
      <w:lvlText w:val=""/>
      <w:lvlJc w:val="left"/>
      <w:pPr>
        <w:ind w:left="5127" w:hanging="360"/>
      </w:pPr>
      <w:rPr>
        <w:rFonts w:ascii="Wingdings" w:hAnsi="Wingdings" w:hint="default"/>
      </w:rPr>
    </w:lvl>
    <w:lvl w:ilvl="6" w:tplc="08090001">
      <w:start w:val="1"/>
      <w:numFmt w:val="bullet"/>
      <w:lvlText w:val=""/>
      <w:lvlJc w:val="left"/>
      <w:pPr>
        <w:ind w:left="5847" w:hanging="360"/>
      </w:pPr>
      <w:rPr>
        <w:rFonts w:ascii="Symbol" w:hAnsi="Symbol" w:hint="default"/>
      </w:rPr>
    </w:lvl>
    <w:lvl w:ilvl="7" w:tplc="08090003">
      <w:start w:val="1"/>
      <w:numFmt w:val="bullet"/>
      <w:lvlText w:val="o"/>
      <w:lvlJc w:val="left"/>
      <w:pPr>
        <w:ind w:left="6567" w:hanging="360"/>
      </w:pPr>
      <w:rPr>
        <w:rFonts w:ascii="Courier New" w:hAnsi="Courier New" w:cs="Courier New" w:hint="default"/>
      </w:rPr>
    </w:lvl>
    <w:lvl w:ilvl="8" w:tplc="08090005">
      <w:start w:val="1"/>
      <w:numFmt w:val="bullet"/>
      <w:lvlText w:val=""/>
      <w:lvlJc w:val="left"/>
      <w:pPr>
        <w:ind w:left="7287" w:hanging="360"/>
      </w:pPr>
      <w:rPr>
        <w:rFonts w:ascii="Wingdings" w:hAnsi="Wingdings" w:hint="default"/>
      </w:rPr>
    </w:lvl>
  </w:abstractNum>
  <w:abstractNum w:abstractNumId="27">
    <w:nsid w:val="72AF0107"/>
    <w:multiLevelType w:val="hybridMultilevel"/>
    <w:tmpl w:val="36CEF0A2"/>
    <w:lvl w:ilvl="0" w:tplc="128A8C5A">
      <w:start w:val="1"/>
      <w:numFmt w:val="bullet"/>
      <w:lvlText w:val=""/>
      <w:lvlJc w:val="left"/>
      <w:pPr>
        <w:tabs>
          <w:tab w:val="num" w:pos="1080"/>
        </w:tabs>
        <w:ind w:left="108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nsid w:val="75477110"/>
    <w:multiLevelType w:val="hybridMultilevel"/>
    <w:tmpl w:val="80943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78A4BF1"/>
    <w:multiLevelType w:val="hybridMultilevel"/>
    <w:tmpl w:val="665C55E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0">
    <w:nsid w:val="79B44833"/>
    <w:multiLevelType w:val="hybridMultilevel"/>
    <w:tmpl w:val="0BBA5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B3C79EC"/>
    <w:multiLevelType w:val="hybridMultilevel"/>
    <w:tmpl w:val="3BDCB3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31"/>
  </w:num>
  <w:num w:numId="4">
    <w:abstractNumId w:val="29"/>
  </w:num>
  <w:num w:numId="5">
    <w:abstractNumId w:val="13"/>
  </w:num>
  <w:num w:numId="6">
    <w:abstractNumId w:val="4"/>
  </w:num>
  <w:num w:numId="7">
    <w:abstractNumId w:val="26"/>
  </w:num>
  <w:num w:numId="8">
    <w:abstractNumId w:val="27"/>
  </w:num>
  <w:num w:numId="9">
    <w:abstractNumId w:val="16"/>
  </w:num>
  <w:num w:numId="10">
    <w:abstractNumId w:val="21"/>
  </w:num>
  <w:num w:numId="11">
    <w:abstractNumId w:val="23"/>
  </w:num>
  <w:num w:numId="12">
    <w:abstractNumId w:val="7"/>
  </w:num>
  <w:num w:numId="13">
    <w:abstractNumId w:val="9"/>
  </w:num>
  <w:num w:numId="14">
    <w:abstractNumId w:val="6"/>
  </w:num>
  <w:num w:numId="15">
    <w:abstractNumId w:val="11"/>
  </w:num>
  <w:num w:numId="16">
    <w:abstractNumId w:val="20"/>
  </w:num>
  <w:num w:numId="17">
    <w:abstractNumId w:val="10"/>
  </w:num>
  <w:num w:numId="18">
    <w:abstractNumId w:val="30"/>
  </w:num>
  <w:num w:numId="19">
    <w:abstractNumId w:val="25"/>
  </w:num>
  <w:num w:numId="20">
    <w:abstractNumId w:val="17"/>
  </w:num>
  <w:num w:numId="21">
    <w:abstractNumId w:val="22"/>
  </w:num>
  <w:num w:numId="22">
    <w:abstractNumId w:val="19"/>
  </w:num>
  <w:num w:numId="23">
    <w:abstractNumId w:val="28"/>
  </w:num>
  <w:num w:numId="24">
    <w:abstractNumId w:val="18"/>
    <w:lvlOverride w:ilvl="0">
      <w:startOverride w:val="1"/>
    </w:lvlOverride>
    <w:lvlOverride w:ilvl="1"/>
    <w:lvlOverride w:ilvl="2"/>
    <w:lvlOverride w:ilvl="3"/>
    <w:lvlOverride w:ilvl="4"/>
    <w:lvlOverride w:ilvl="5"/>
    <w:lvlOverride w:ilvl="6"/>
    <w:lvlOverride w:ilvl="7"/>
    <w:lvlOverride w:ilvl="8"/>
  </w:num>
  <w:num w:numId="25">
    <w:abstractNumId w:val="5"/>
  </w:num>
  <w:num w:numId="26">
    <w:abstractNumId w:val="1"/>
  </w:num>
  <w:num w:numId="27">
    <w:abstractNumId w:val="12"/>
  </w:num>
  <w:num w:numId="28">
    <w:abstractNumId w:val="0"/>
  </w:num>
  <w:num w:numId="29">
    <w:abstractNumId w:val="24"/>
  </w:num>
  <w:num w:numId="30">
    <w:abstractNumId w:val="2"/>
  </w:num>
  <w:num w:numId="31">
    <w:abstractNumId w:val="14"/>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f2zwsxxntazpaesvw85rrv62xr5pf2x20pd&quot;&gt;Thawed FFP paper&lt;record-ids&gt;&lt;item&gt;2158&lt;/item&gt;&lt;/record-ids&gt;&lt;/item&gt;&lt;/Libraries&gt;"/>
  </w:docVars>
  <w:rsids>
    <w:rsidRoot w:val="00982678"/>
    <w:rsid w:val="000005E3"/>
    <w:rsid w:val="0000403D"/>
    <w:rsid w:val="0000420B"/>
    <w:rsid w:val="00005831"/>
    <w:rsid w:val="0000595D"/>
    <w:rsid w:val="00006DD0"/>
    <w:rsid w:val="00007013"/>
    <w:rsid w:val="00010CB5"/>
    <w:rsid w:val="00010FF7"/>
    <w:rsid w:val="000119BD"/>
    <w:rsid w:val="000132BF"/>
    <w:rsid w:val="00013738"/>
    <w:rsid w:val="00020154"/>
    <w:rsid w:val="00020F2D"/>
    <w:rsid w:val="000216DD"/>
    <w:rsid w:val="000217F0"/>
    <w:rsid w:val="00025873"/>
    <w:rsid w:val="00027331"/>
    <w:rsid w:val="00032E51"/>
    <w:rsid w:val="00034011"/>
    <w:rsid w:val="00036E9E"/>
    <w:rsid w:val="00037A3A"/>
    <w:rsid w:val="00040832"/>
    <w:rsid w:val="000429D3"/>
    <w:rsid w:val="00042BD4"/>
    <w:rsid w:val="000451B8"/>
    <w:rsid w:val="00046ACF"/>
    <w:rsid w:val="00047C01"/>
    <w:rsid w:val="00050DED"/>
    <w:rsid w:val="00054B30"/>
    <w:rsid w:val="000562A9"/>
    <w:rsid w:val="00056F76"/>
    <w:rsid w:val="00057136"/>
    <w:rsid w:val="00057E58"/>
    <w:rsid w:val="000611B8"/>
    <w:rsid w:val="00070A85"/>
    <w:rsid w:val="00073D1D"/>
    <w:rsid w:val="00074865"/>
    <w:rsid w:val="000749B6"/>
    <w:rsid w:val="00074DE9"/>
    <w:rsid w:val="00077F24"/>
    <w:rsid w:val="00082E0D"/>
    <w:rsid w:val="00085547"/>
    <w:rsid w:val="00086094"/>
    <w:rsid w:val="00087053"/>
    <w:rsid w:val="0008737D"/>
    <w:rsid w:val="00092380"/>
    <w:rsid w:val="0009354E"/>
    <w:rsid w:val="00096976"/>
    <w:rsid w:val="00097959"/>
    <w:rsid w:val="000A167B"/>
    <w:rsid w:val="000A3B4F"/>
    <w:rsid w:val="000A56D2"/>
    <w:rsid w:val="000A653C"/>
    <w:rsid w:val="000B13CE"/>
    <w:rsid w:val="000B1CCF"/>
    <w:rsid w:val="000B3A7C"/>
    <w:rsid w:val="000B6985"/>
    <w:rsid w:val="000B7B8A"/>
    <w:rsid w:val="000C2F3B"/>
    <w:rsid w:val="000C30D2"/>
    <w:rsid w:val="000D1B5C"/>
    <w:rsid w:val="000D2142"/>
    <w:rsid w:val="000D4CA5"/>
    <w:rsid w:val="000D5E2F"/>
    <w:rsid w:val="000D6F20"/>
    <w:rsid w:val="000D751E"/>
    <w:rsid w:val="000D79E0"/>
    <w:rsid w:val="000E32E3"/>
    <w:rsid w:val="000E380D"/>
    <w:rsid w:val="000E541E"/>
    <w:rsid w:val="000E5FBA"/>
    <w:rsid w:val="000E710D"/>
    <w:rsid w:val="000E73E1"/>
    <w:rsid w:val="000E762D"/>
    <w:rsid w:val="000F09D5"/>
    <w:rsid w:val="000F0F83"/>
    <w:rsid w:val="00100BC1"/>
    <w:rsid w:val="0010473E"/>
    <w:rsid w:val="00105CDA"/>
    <w:rsid w:val="00111221"/>
    <w:rsid w:val="00112293"/>
    <w:rsid w:val="00112AAE"/>
    <w:rsid w:val="00113362"/>
    <w:rsid w:val="00113AD5"/>
    <w:rsid w:val="00115AA5"/>
    <w:rsid w:val="00115BB3"/>
    <w:rsid w:val="001173E5"/>
    <w:rsid w:val="00121EA9"/>
    <w:rsid w:val="001269AE"/>
    <w:rsid w:val="0012732C"/>
    <w:rsid w:val="00130F5F"/>
    <w:rsid w:val="001318DE"/>
    <w:rsid w:val="001341E7"/>
    <w:rsid w:val="00142174"/>
    <w:rsid w:val="001427BE"/>
    <w:rsid w:val="001428F0"/>
    <w:rsid w:val="00142E51"/>
    <w:rsid w:val="00143F6E"/>
    <w:rsid w:val="00145D4F"/>
    <w:rsid w:val="00146ADF"/>
    <w:rsid w:val="001528C9"/>
    <w:rsid w:val="0015303F"/>
    <w:rsid w:val="0015318B"/>
    <w:rsid w:val="001531A8"/>
    <w:rsid w:val="00154648"/>
    <w:rsid w:val="00154E83"/>
    <w:rsid w:val="00160835"/>
    <w:rsid w:val="0016084E"/>
    <w:rsid w:val="00161188"/>
    <w:rsid w:val="00161A45"/>
    <w:rsid w:val="00163065"/>
    <w:rsid w:val="001655DA"/>
    <w:rsid w:val="00167780"/>
    <w:rsid w:val="001717AD"/>
    <w:rsid w:val="00174C77"/>
    <w:rsid w:val="00174FA0"/>
    <w:rsid w:val="00175140"/>
    <w:rsid w:val="00175D01"/>
    <w:rsid w:val="00182D36"/>
    <w:rsid w:val="001834FC"/>
    <w:rsid w:val="001847F4"/>
    <w:rsid w:val="001849AC"/>
    <w:rsid w:val="001930D8"/>
    <w:rsid w:val="0019324F"/>
    <w:rsid w:val="00193ABA"/>
    <w:rsid w:val="00194E28"/>
    <w:rsid w:val="00195C32"/>
    <w:rsid w:val="001A5F0C"/>
    <w:rsid w:val="001A7ECC"/>
    <w:rsid w:val="001B0218"/>
    <w:rsid w:val="001B182F"/>
    <w:rsid w:val="001B4609"/>
    <w:rsid w:val="001B4921"/>
    <w:rsid w:val="001B6DBA"/>
    <w:rsid w:val="001B7E93"/>
    <w:rsid w:val="001C178A"/>
    <w:rsid w:val="001C67D0"/>
    <w:rsid w:val="001D11CE"/>
    <w:rsid w:val="001D238B"/>
    <w:rsid w:val="001D2CBF"/>
    <w:rsid w:val="001D4235"/>
    <w:rsid w:val="001D486B"/>
    <w:rsid w:val="001D48AB"/>
    <w:rsid w:val="001D5C29"/>
    <w:rsid w:val="001D5E1B"/>
    <w:rsid w:val="001D77C6"/>
    <w:rsid w:val="001E5A1F"/>
    <w:rsid w:val="001E646C"/>
    <w:rsid w:val="001E64B7"/>
    <w:rsid w:val="001E7009"/>
    <w:rsid w:val="001E7E21"/>
    <w:rsid w:val="001F1AF6"/>
    <w:rsid w:val="001F24B7"/>
    <w:rsid w:val="001F4784"/>
    <w:rsid w:val="001F5A82"/>
    <w:rsid w:val="001F64E8"/>
    <w:rsid w:val="00201759"/>
    <w:rsid w:val="00201C15"/>
    <w:rsid w:val="00202509"/>
    <w:rsid w:val="00202991"/>
    <w:rsid w:val="00204FCF"/>
    <w:rsid w:val="00206EB6"/>
    <w:rsid w:val="00210137"/>
    <w:rsid w:val="00210996"/>
    <w:rsid w:val="002118BC"/>
    <w:rsid w:val="002132C7"/>
    <w:rsid w:val="00216A9F"/>
    <w:rsid w:val="0021728D"/>
    <w:rsid w:val="00217334"/>
    <w:rsid w:val="00222CC7"/>
    <w:rsid w:val="002243EB"/>
    <w:rsid w:val="00224728"/>
    <w:rsid w:val="002266BD"/>
    <w:rsid w:val="002354EC"/>
    <w:rsid w:val="00236B66"/>
    <w:rsid w:val="00240020"/>
    <w:rsid w:val="00240402"/>
    <w:rsid w:val="002407CD"/>
    <w:rsid w:val="00244161"/>
    <w:rsid w:val="00244F36"/>
    <w:rsid w:val="00247183"/>
    <w:rsid w:val="00247E63"/>
    <w:rsid w:val="00255348"/>
    <w:rsid w:val="002557F8"/>
    <w:rsid w:val="00257C5C"/>
    <w:rsid w:val="002637FF"/>
    <w:rsid w:val="002673AD"/>
    <w:rsid w:val="002703A8"/>
    <w:rsid w:val="002752B3"/>
    <w:rsid w:val="00280127"/>
    <w:rsid w:val="00280390"/>
    <w:rsid w:val="00282F9D"/>
    <w:rsid w:val="002876AE"/>
    <w:rsid w:val="0029223A"/>
    <w:rsid w:val="00292673"/>
    <w:rsid w:val="00293556"/>
    <w:rsid w:val="002952BE"/>
    <w:rsid w:val="00295554"/>
    <w:rsid w:val="00297FDD"/>
    <w:rsid w:val="002A117C"/>
    <w:rsid w:val="002A330F"/>
    <w:rsid w:val="002A3899"/>
    <w:rsid w:val="002A38B7"/>
    <w:rsid w:val="002A3E01"/>
    <w:rsid w:val="002A5FAF"/>
    <w:rsid w:val="002A6EEF"/>
    <w:rsid w:val="002B1F35"/>
    <w:rsid w:val="002B3638"/>
    <w:rsid w:val="002B6292"/>
    <w:rsid w:val="002B6B3F"/>
    <w:rsid w:val="002C02DF"/>
    <w:rsid w:val="002C4086"/>
    <w:rsid w:val="002C63D7"/>
    <w:rsid w:val="002D15FA"/>
    <w:rsid w:val="002D240C"/>
    <w:rsid w:val="002D2A2E"/>
    <w:rsid w:val="002D31C8"/>
    <w:rsid w:val="002D3EDB"/>
    <w:rsid w:val="002D6AD4"/>
    <w:rsid w:val="002D7956"/>
    <w:rsid w:val="002E0469"/>
    <w:rsid w:val="002E3273"/>
    <w:rsid w:val="002E3785"/>
    <w:rsid w:val="002E4EFE"/>
    <w:rsid w:val="002E7CD2"/>
    <w:rsid w:val="003046B4"/>
    <w:rsid w:val="00304A53"/>
    <w:rsid w:val="00304F56"/>
    <w:rsid w:val="0030593E"/>
    <w:rsid w:val="00305986"/>
    <w:rsid w:val="003109DE"/>
    <w:rsid w:val="00312650"/>
    <w:rsid w:val="00324430"/>
    <w:rsid w:val="003258F2"/>
    <w:rsid w:val="00325AE7"/>
    <w:rsid w:val="0032635B"/>
    <w:rsid w:val="003263A0"/>
    <w:rsid w:val="00327B3A"/>
    <w:rsid w:val="0033125A"/>
    <w:rsid w:val="00334370"/>
    <w:rsid w:val="00337D8C"/>
    <w:rsid w:val="003403B6"/>
    <w:rsid w:val="00345362"/>
    <w:rsid w:val="0034669F"/>
    <w:rsid w:val="00350370"/>
    <w:rsid w:val="00351A27"/>
    <w:rsid w:val="0035494B"/>
    <w:rsid w:val="0035551C"/>
    <w:rsid w:val="00355764"/>
    <w:rsid w:val="003558F6"/>
    <w:rsid w:val="00355E8F"/>
    <w:rsid w:val="00357049"/>
    <w:rsid w:val="00357A4A"/>
    <w:rsid w:val="00362F32"/>
    <w:rsid w:val="00364778"/>
    <w:rsid w:val="00365594"/>
    <w:rsid w:val="00366181"/>
    <w:rsid w:val="00371A11"/>
    <w:rsid w:val="003743F8"/>
    <w:rsid w:val="00375603"/>
    <w:rsid w:val="003765F6"/>
    <w:rsid w:val="00381CF1"/>
    <w:rsid w:val="00383E78"/>
    <w:rsid w:val="003861EE"/>
    <w:rsid w:val="0038686C"/>
    <w:rsid w:val="00386C5A"/>
    <w:rsid w:val="00390D19"/>
    <w:rsid w:val="003930F0"/>
    <w:rsid w:val="00395DFE"/>
    <w:rsid w:val="003A14BF"/>
    <w:rsid w:val="003A4851"/>
    <w:rsid w:val="003A49D0"/>
    <w:rsid w:val="003A5E28"/>
    <w:rsid w:val="003B2200"/>
    <w:rsid w:val="003B67CA"/>
    <w:rsid w:val="003B6E9C"/>
    <w:rsid w:val="003B7BAE"/>
    <w:rsid w:val="003C0587"/>
    <w:rsid w:val="003C21D7"/>
    <w:rsid w:val="003C2D08"/>
    <w:rsid w:val="003C3199"/>
    <w:rsid w:val="003C3736"/>
    <w:rsid w:val="003D2595"/>
    <w:rsid w:val="003D4CD0"/>
    <w:rsid w:val="003D508F"/>
    <w:rsid w:val="003D6A6B"/>
    <w:rsid w:val="003D7EBC"/>
    <w:rsid w:val="003E1D6D"/>
    <w:rsid w:val="003E5627"/>
    <w:rsid w:val="003F27DA"/>
    <w:rsid w:val="003F48CD"/>
    <w:rsid w:val="003F4A0B"/>
    <w:rsid w:val="00404625"/>
    <w:rsid w:val="00404D49"/>
    <w:rsid w:val="004051B4"/>
    <w:rsid w:val="00405B86"/>
    <w:rsid w:val="0040632F"/>
    <w:rsid w:val="00407E48"/>
    <w:rsid w:val="0041263A"/>
    <w:rsid w:val="0041287C"/>
    <w:rsid w:val="00413EF8"/>
    <w:rsid w:val="00417320"/>
    <w:rsid w:val="0042202B"/>
    <w:rsid w:val="00424A66"/>
    <w:rsid w:val="00427DB7"/>
    <w:rsid w:val="004315C0"/>
    <w:rsid w:val="0043311D"/>
    <w:rsid w:val="00433AC8"/>
    <w:rsid w:val="0043497F"/>
    <w:rsid w:val="00435932"/>
    <w:rsid w:val="00435D6F"/>
    <w:rsid w:val="00436E0B"/>
    <w:rsid w:val="00437DFA"/>
    <w:rsid w:val="004403CF"/>
    <w:rsid w:val="00440899"/>
    <w:rsid w:val="00442159"/>
    <w:rsid w:val="00442CBD"/>
    <w:rsid w:val="00444BDA"/>
    <w:rsid w:val="0044660E"/>
    <w:rsid w:val="0044767B"/>
    <w:rsid w:val="00447BBD"/>
    <w:rsid w:val="00450C82"/>
    <w:rsid w:val="00457C11"/>
    <w:rsid w:val="0046430C"/>
    <w:rsid w:val="00464DA2"/>
    <w:rsid w:val="00466119"/>
    <w:rsid w:val="00470765"/>
    <w:rsid w:val="00472FF9"/>
    <w:rsid w:val="00474B22"/>
    <w:rsid w:val="00476598"/>
    <w:rsid w:val="004770D2"/>
    <w:rsid w:val="0048307C"/>
    <w:rsid w:val="0048333D"/>
    <w:rsid w:val="004857BD"/>
    <w:rsid w:val="00485BB8"/>
    <w:rsid w:val="00486058"/>
    <w:rsid w:val="00486715"/>
    <w:rsid w:val="004901D4"/>
    <w:rsid w:val="004909DF"/>
    <w:rsid w:val="00491318"/>
    <w:rsid w:val="00491955"/>
    <w:rsid w:val="00494DDB"/>
    <w:rsid w:val="00496FE1"/>
    <w:rsid w:val="00497580"/>
    <w:rsid w:val="004A19C4"/>
    <w:rsid w:val="004A2971"/>
    <w:rsid w:val="004A3BC2"/>
    <w:rsid w:val="004A64F6"/>
    <w:rsid w:val="004A7BF1"/>
    <w:rsid w:val="004B1AB4"/>
    <w:rsid w:val="004B339B"/>
    <w:rsid w:val="004B44A4"/>
    <w:rsid w:val="004B5485"/>
    <w:rsid w:val="004B5985"/>
    <w:rsid w:val="004B5EBE"/>
    <w:rsid w:val="004B7660"/>
    <w:rsid w:val="004C04D8"/>
    <w:rsid w:val="004C0EC4"/>
    <w:rsid w:val="004C3099"/>
    <w:rsid w:val="004C6C4B"/>
    <w:rsid w:val="004D003B"/>
    <w:rsid w:val="004D139C"/>
    <w:rsid w:val="004D14D7"/>
    <w:rsid w:val="004D2047"/>
    <w:rsid w:val="004D5849"/>
    <w:rsid w:val="004D7A79"/>
    <w:rsid w:val="004E1AF4"/>
    <w:rsid w:val="004E4E78"/>
    <w:rsid w:val="004E55F7"/>
    <w:rsid w:val="004E6B21"/>
    <w:rsid w:val="004E6D40"/>
    <w:rsid w:val="004F1993"/>
    <w:rsid w:val="004F2865"/>
    <w:rsid w:val="004F4F26"/>
    <w:rsid w:val="004F5C96"/>
    <w:rsid w:val="005000FD"/>
    <w:rsid w:val="0050497D"/>
    <w:rsid w:val="00506A4F"/>
    <w:rsid w:val="00506D1C"/>
    <w:rsid w:val="00510486"/>
    <w:rsid w:val="00510A02"/>
    <w:rsid w:val="00511D47"/>
    <w:rsid w:val="00517004"/>
    <w:rsid w:val="00520534"/>
    <w:rsid w:val="00521673"/>
    <w:rsid w:val="00521D5A"/>
    <w:rsid w:val="005220D6"/>
    <w:rsid w:val="00522433"/>
    <w:rsid w:val="005226CB"/>
    <w:rsid w:val="00523D20"/>
    <w:rsid w:val="00523DCB"/>
    <w:rsid w:val="0052491C"/>
    <w:rsid w:val="00524E8F"/>
    <w:rsid w:val="00524EE7"/>
    <w:rsid w:val="00525AA8"/>
    <w:rsid w:val="0052650A"/>
    <w:rsid w:val="00531943"/>
    <w:rsid w:val="00533C54"/>
    <w:rsid w:val="00533CB0"/>
    <w:rsid w:val="00534290"/>
    <w:rsid w:val="00535855"/>
    <w:rsid w:val="00537A33"/>
    <w:rsid w:val="0054256E"/>
    <w:rsid w:val="0054286C"/>
    <w:rsid w:val="005428EE"/>
    <w:rsid w:val="00551375"/>
    <w:rsid w:val="00551B1F"/>
    <w:rsid w:val="00556A61"/>
    <w:rsid w:val="00560B82"/>
    <w:rsid w:val="0056280F"/>
    <w:rsid w:val="005655CC"/>
    <w:rsid w:val="0056750C"/>
    <w:rsid w:val="00572668"/>
    <w:rsid w:val="00572B4D"/>
    <w:rsid w:val="00572C13"/>
    <w:rsid w:val="00572C8A"/>
    <w:rsid w:val="00572EA4"/>
    <w:rsid w:val="00572F95"/>
    <w:rsid w:val="0057610C"/>
    <w:rsid w:val="00576CC2"/>
    <w:rsid w:val="005771DE"/>
    <w:rsid w:val="00580A49"/>
    <w:rsid w:val="005812BF"/>
    <w:rsid w:val="00585F0E"/>
    <w:rsid w:val="005863C0"/>
    <w:rsid w:val="00590AE8"/>
    <w:rsid w:val="0059216C"/>
    <w:rsid w:val="00592497"/>
    <w:rsid w:val="00593B62"/>
    <w:rsid w:val="00594CD0"/>
    <w:rsid w:val="0059773F"/>
    <w:rsid w:val="005A2092"/>
    <w:rsid w:val="005A569C"/>
    <w:rsid w:val="005A56A5"/>
    <w:rsid w:val="005B0D9A"/>
    <w:rsid w:val="005B257B"/>
    <w:rsid w:val="005B52AA"/>
    <w:rsid w:val="005C04A4"/>
    <w:rsid w:val="005C053F"/>
    <w:rsid w:val="005C0BE5"/>
    <w:rsid w:val="005C2DAC"/>
    <w:rsid w:val="005C325A"/>
    <w:rsid w:val="005D1CBB"/>
    <w:rsid w:val="005D2F42"/>
    <w:rsid w:val="005D3BA4"/>
    <w:rsid w:val="005D4E77"/>
    <w:rsid w:val="005D744A"/>
    <w:rsid w:val="005D7581"/>
    <w:rsid w:val="005E1453"/>
    <w:rsid w:val="005E1CD1"/>
    <w:rsid w:val="005E6CF7"/>
    <w:rsid w:val="005E7419"/>
    <w:rsid w:val="005E7C44"/>
    <w:rsid w:val="005F0521"/>
    <w:rsid w:val="005F48CE"/>
    <w:rsid w:val="005F49A9"/>
    <w:rsid w:val="005F5D3D"/>
    <w:rsid w:val="005F5E88"/>
    <w:rsid w:val="006010B8"/>
    <w:rsid w:val="0060124A"/>
    <w:rsid w:val="00602350"/>
    <w:rsid w:val="00602790"/>
    <w:rsid w:val="0060558D"/>
    <w:rsid w:val="00605D6D"/>
    <w:rsid w:val="00610F9E"/>
    <w:rsid w:val="00610FC4"/>
    <w:rsid w:val="00614329"/>
    <w:rsid w:val="00614C62"/>
    <w:rsid w:val="00617C09"/>
    <w:rsid w:val="00617CC5"/>
    <w:rsid w:val="00620FBD"/>
    <w:rsid w:val="00625047"/>
    <w:rsid w:val="0062641A"/>
    <w:rsid w:val="006265DD"/>
    <w:rsid w:val="0062684F"/>
    <w:rsid w:val="00626964"/>
    <w:rsid w:val="00630150"/>
    <w:rsid w:val="00630FAC"/>
    <w:rsid w:val="006332BD"/>
    <w:rsid w:val="00633C5A"/>
    <w:rsid w:val="00634852"/>
    <w:rsid w:val="0063637E"/>
    <w:rsid w:val="006365F5"/>
    <w:rsid w:val="00640D29"/>
    <w:rsid w:val="00642C2E"/>
    <w:rsid w:val="00642E32"/>
    <w:rsid w:val="006439F0"/>
    <w:rsid w:val="00643CF1"/>
    <w:rsid w:val="006440F7"/>
    <w:rsid w:val="006461AB"/>
    <w:rsid w:val="00650738"/>
    <w:rsid w:val="0065251D"/>
    <w:rsid w:val="00654AEE"/>
    <w:rsid w:val="0065618F"/>
    <w:rsid w:val="00660654"/>
    <w:rsid w:val="00661DD8"/>
    <w:rsid w:val="006642DD"/>
    <w:rsid w:val="006651DD"/>
    <w:rsid w:val="006665EE"/>
    <w:rsid w:val="00666CF5"/>
    <w:rsid w:val="00675F7B"/>
    <w:rsid w:val="006800A2"/>
    <w:rsid w:val="00684E78"/>
    <w:rsid w:val="006854AA"/>
    <w:rsid w:val="00685C5E"/>
    <w:rsid w:val="0068602C"/>
    <w:rsid w:val="00687826"/>
    <w:rsid w:val="006924B1"/>
    <w:rsid w:val="00692EB4"/>
    <w:rsid w:val="006938EB"/>
    <w:rsid w:val="006A0118"/>
    <w:rsid w:val="006A19C5"/>
    <w:rsid w:val="006A1E5E"/>
    <w:rsid w:val="006A44BD"/>
    <w:rsid w:val="006A474B"/>
    <w:rsid w:val="006A6ED2"/>
    <w:rsid w:val="006A6F8B"/>
    <w:rsid w:val="006B4B50"/>
    <w:rsid w:val="006C1DA7"/>
    <w:rsid w:val="006C30AC"/>
    <w:rsid w:val="006C3D76"/>
    <w:rsid w:val="006C622E"/>
    <w:rsid w:val="006C6B38"/>
    <w:rsid w:val="006D4380"/>
    <w:rsid w:val="006D5466"/>
    <w:rsid w:val="006D5CB9"/>
    <w:rsid w:val="006D6EA9"/>
    <w:rsid w:val="006E0746"/>
    <w:rsid w:val="006E09C1"/>
    <w:rsid w:val="006E3127"/>
    <w:rsid w:val="006E35B2"/>
    <w:rsid w:val="006E3B02"/>
    <w:rsid w:val="006E5A2D"/>
    <w:rsid w:val="006E68F3"/>
    <w:rsid w:val="006E6A4A"/>
    <w:rsid w:val="006F22AD"/>
    <w:rsid w:val="006F24F4"/>
    <w:rsid w:val="006F3701"/>
    <w:rsid w:val="0070124D"/>
    <w:rsid w:val="00701F8A"/>
    <w:rsid w:val="00705303"/>
    <w:rsid w:val="00705FE0"/>
    <w:rsid w:val="007100D6"/>
    <w:rsid w:val="00711B05"/>
    <w:rsid w:val="00713542"/>
    <w:rsid w:val="00716EEF"/>
    <w:rsid w:val="007209B4"/>
    <w:rsid w:val="00720D41"/>
    <w:rsid w:val="007211EA"/>
    <w:rsid w:val="00723558"/>
    <w:rsid w:val="00727FCD"/>
    <w:rsid w:val="00731723"/>
    <w:rsid w:val="00734A39"/>
    <w:rsid w:val="0074200B"/>
    <w:rsid w:val="00743EAE"/>
    <w:rsid w:val="007451C8"/>
    <w:rsid w:val="0075007F"/>
    <w:rsid w:val="007511E2"/>
    <w:rsid w:val="00751D72"/>
    <w:rsid w:val="007524CC"/>
    <w:rsid w:val="00754114"/>
    <w:rsid w:val="00754D05"/>
    <w:rsid w:val="00757C7E"/>
    <w:rsid w:val="00760CB5"/>
    <w:rsid w:val="00761996"/>
    <w:rsid w:val="00763510"/>
    <w:rsid w:val="00763D9D"/>
    <w:rsid w:val="00764BC2"/>
    <w:rsid w:val="007669AC"/>
    <w:rsid w:val="00772562"/>
    <w:rsid w:val="00773FFE"/>
    <w:rsid w:val="00775013"/>
    <w:rsid w:val="00782FDF"/>
    <w:rsid w:val="007853E9"/>
    <w:rsid w:val="0078562E"/>
    <w:rsid w:val="00787DFE"/>
    <w:rsid w:val="00787F0A"/>
    <w:rsid w:val="00790FEB"/>
    <w:rsid w:val="0079227C"/>
    <w:rsid w:val="00792626"/>
    <w:rsid w:val="007929D9"/>
    <w:rsid w:val="0079421A"/>
    <w:rsid w:val="00796782"/>
    <w:rsid w:val="00796E9E"/>
    <w:rsid w:val="00797D8A"/>
    <w:rsid w:val="007A3F94"/>
    <w:rsid w:val="007A4F1D"/>
    <w:rsid w:val="007A600A"/>
    <w:rsid w:val="007A6608"/>
    <w:rsid w:val="007A6BE7"/>
    <w:rsid w:val="007A6CF8"/>
    <w:rsid w:val="007A700F"/>
    <w:rsid w:val="007B01EA"/>
    <w:rsid w:val="007B0C31"/>
    <w:rsid w:val="007B39CA"/>
    <w:rsid w:val="007B7693"/>
    <w:rsid w:val="007C0231"/>
    <w:rsid w:val="007C410C"/>
    <w:rsid w:val="007C606F"/>
    <w:rsid w:val="007C62AE"/>
    <w:rsid w:val="007C7CAF"/>
    <w:rsid w:val="007D06C2"/>
    <w:rsid w:val="007D10D4"/>
    <w:rsid w:val="007D207F"/>
    <w:rsid w:val="007D25FB"/>
    <w:rsid w:val="007E0230"/>
    <w:rsid w:val="007E126A"/>
    <w:rsid w:val="007E584F"/>
    <w:rsid w:val="007E5871"/>
    <w:rsid w:val="007E5BCC"/>
    <w:rsid w:val="007E6CFF"/>
    <w:rsid w:val="007F3AC8"/>
    <w:rsid w:val="007F4889"/>
    <w:rsid w:val="007F5150"/>
    <w:rsid w:val="007F58D0"/>
    <w:rsid w:val="007F6843"/>
    <w:rsid w:val="00805CBA"/>
    <w:rsid w:val="00805F23"/>
    <w:rsid w:val="008072B2"/>
    <w:rsid w:val="00813201"/>
    <w:rsid w:val="008132C7"/>
    <w:rsid w:val="00815601"/>
    <w:rsid w:val="00815803"/>
    <w:rsid w:val="00821E1D"/>
    <w:rsid w:val="00823A60"/>
    <w:rsid w:val="00826709"/>
    <w:rsid w:val="00831607"/>
    <w:rsid w:val="0083192B"/>
    <w:rsid w:val="0083411B"/>
    <w:rsid w:val="0083429D"/>
    <w:rsid w:val="00834F19"/>
    <w:rsid w:val="00835839"/>
    <w:rsid w:val="008358B5"/>
    <w:rsid w:val="00836536"/>
    <w:rsid w:val="00837584"/>
    <w:rsid w:val="0084213B"/>
    <w:rsid w:val="00843DD9"/>
    <w:rsid w:val="00845B4B"/>
    <w:rsid w:val="008473D8"/>
    <w:rsid w:val="008536B5"/>
    <w:rsid w:val="00853F52"/>
    <w:rsid w:val="00860FE0"/>
    <w:rsid w:val="00861494"/>
    <w:rsid w:val="00862FD8"/>
    <w:rsid w:val="008636F9"/>
    <w:rsid w:val="00863C3F"/>
    <w:rsid w:val="00865FAC"/>
    <w:rsid w:val="00865FF7"/>
    <w:rsid w:val="00870DDF"/>
    <w:rsid w:val="008726B3"/>
    <w:rsid w:val="00873832"/>
    <w:rsid w:val="008738C6"/>
    <w:rsid w:val="00874817"/>
    <w:rsid w:val="00874865"/>
    <w:rsid w:val="008753E4"/>
    <w:rsid w:val="00877F71"/>
    <w:rsid w:val="00881E09"/>
    <w:rsid w:val="00885EBC"/>
    <w:rsid w:val="008871B4"/>
    <w:rsid w:val="008874E9"/>
    <w:rsid w:val="00887707"/>
    <w:rsid w:val="008940B4"/>
    <w:rsid w:val="0089540B"/>
    <w:rsid w:val="00897C86"/>
    <w:rsid w:val="00897F04"/>
    <w:rsid w:val="008A0572"/>
    <w:rsid w:val="008A07C7"/>
    <w:rsid w:val="008A3B27"/>
    <w:rsid w:val="008A4697"/>
    <w:rsid w:val="008A52B9"/>
    <w:rsid w:val="008A5E63"/>
    <w:rsid w:val="008A6232"/>
    <w:rsid w:val="008A6613"/>
    <w:rsid w:val="008A67B6"/>
    <w:rsid w:val="008A6971"/>
    <w:rsid w:val="008A7B80"/>
    <w:rsid w:val="008B0D37"/>
    <w:rsid w:val="008B154A"/>
    <w:rsid w:val="008B21C2"/>
    <w:rsid w:val="008B2D74"/>
    <w:rsid w:val="008B3064"/>
    <w:rsid w:val="008B30CF"/>
    <w:rsid w:val="008B5897"/>
    <w:rsid w:val="008C3D40"/>
    <w:rsid w:val="008C438D"/>
    <w:rsid w:val="008C5861"/>
    <w:rsid w:val="008C67E3"/>
    <w:rsid w:val="008D0473"/>
    <w:rsid w:val="008D1CE1"/>
    <w:rsid w:val="008D2AFD"/>
    <w:rsid w:val="008D31D4"/>
    <w:rsid w:val="008E0E94"/>
    <w:rsid w:val="008E0F32"/>
    <w:rsid w:val="008E2BC0"/>
    <w:rsid w:val="008E4206"/>
    <w:rsid w:val="008E5C36"/>
    <w:rsid w:val="008E6D52"/>
    <w:rsid w:val="008F1C2B"/>
    <w:rsid w:val="008F2369"/>
    <w:rsid w:val="008F4C45"/>
    <w:rsid w:val="008F52C2"/>
    <w:rsid w:val="008F7DFC"/>
    <w:rsid w:val="00900C4E"/>
    <w:rsid w:val="009022F7"/>
    <w:rsid w:val="00902820"/>
    <w:rsid w:val="00906194"/>
    <w:rsid w:val="00907D94"/>
    <w:rsid w:val="00911309"/>
    <w:rsid w:val="009114BE"/>
    <w:rsid w:val="00911665"/>
    <w:rsid w:val="00911F3E"/>
    <w:rsid w:val="00913460"/>
    <w:rsid w:val="00915D8E"/>
    <w:rsid w:val="009171B6"/>
    <w:rsid w:val="00924CDD"/>
    <w:rsid w:val="009309FD"/>
    <w:rsid w:val="00931D36"/>
    <w:rsid w:val="009329D4"/>
    <w:rsid w:val="00933E01"/>
    <w:rsid w:val="009359BE"/>
    <w:rsid w:val="00935D26"/>
    <w:rsid w:val="0093724A"/>
    <w:rsid w:val="00937642"/>
    <w:rsid w:val="009407F7"/>
    <w:rsid w:val="00944C25"/>
    <w:rsid w:val="00946A16"/>
    <w:rsid w:val="00946F44"/>
    <w:rsid w:val="00950AF4"/>
    <w:rsid w:val="00951123"/>
    <w:rsid w:val="00951EEC"/>
    <w:rsid w:val="00954C22"/>
    <w:rsid w:val="00955AB0"/>
    <w:rsid w:val="0096118C"/>
    <w:rsid w:val="00962AB5"/>
    <w:rsid w:val="009642C4"/>
    <w:rsid w:val="00964972"/>
    <w:rsid w:val="00965BD3"/>
    <w:rsid w:val="00970752"/>
    <w:rsid w:val="009729DC"/>
    <w:rsid w:val="009751D6"/>
    <w:rsid w:val="009776C8"/>
    <w:rsid w:val="00980F82"/>
    <w:rsid w:val="00982678"/>
    <w:rsid w:val="00985612"/>
    <w:rsid w:val="00986BA8"/>
    <w:rsid w:val="0099045A"/>
    <w:rsid w:val="00991780"/>
    <w:rsid w:val="00992B83"/>
    <w:rsid w:val="00995795"/>
    <w:rsid w:val="009966AC"/>
    <w:rsid w:val="0099707C"/>
    <w:rsid w:val="00997164"/>
    <w:rsid w:val="009974E6"/>
    <w:rsid w:val="00997508"/>
    <w:rsid w:val="009975DE"/>
    <w:rsid w:val="009A1120"/>
    <w:rsid w:val="009A3201"/>
    <w:rsid w:val="009A4C98"/>
    <w:rsid w:val="009A4E93"/>
    <w:rsid w:val="009B00B3"/>
    <w:rsid w:val="009B0F7E"/>
    <w:rsid w:val="009B312D"/>
    <w:rsid w:val="009B3C1C"/>
    <w:rsid w:val="009B3CE9"/>
    <w:rsid w:val="009B6A42"/>
    <w:rsid w:val="009C1263"/>
    <w:rsid w:val="009C14FA"/>
    <w:rsid w:val="009C1E79"/>
    <w:rsid w:val="009C3347"/>
    <w:rsid w:val="009C3BCA"/>
    <w:rsid w:val="009C4954"/>
    <w:rsid w:val="009C4B44"/>
    <w:rsid w:val="009C7A9D"/>
    <w:rsid w:val="009D168E"/>
    <w:rsid w:val="009D4A46"/>
    <w:rsid w:val="009D7B12"/>
    <w:rsid w:val="009E1F2E"/>
    <w:rsid w:val="009E26B7"/>
    <w:rsid w:val="009E31F1"/>
    <w:rsid w:val="009E3360"/>
    <w:rsid w:val="009E3697"/>
    <w:rsid w:val="009E3B88"/>
    <w:rsid w:val="009E436E"/>
    <w:rsid w:val="009E6B33"/>
    <w:rsid w:val="009E6E15"/>
    <w:rsid w:val="009F0AA8"/>
    <w:rsid w:val="009F432F"/>
    <w:rsid w:val="009F5B05"/>
    <w:rsid w:val="009F6914"/>
    <w:rsid w:val="00A02554"/>
    <w:rsid w:val="00A03BCD"/>
    <w:rsid w:val="00A03C55"/>
    <w:rsid w:val="00A04ED6"/>
    <w:rsid w:val="00A05060"/>
    <w:rsid w:val="00A058D8"/>
    <w:rsid w:val="00A11853"/>
    <w:rsid w:val="00A11CF0"/>
    <w:rsid w:val="00A157BB"/>
    <w:rsid w:val="00A21A0F"/>
    <w:rsid w:val="00A2361D"/>
    <w:rsid w:val="00A23B34"/>
    <w:rsid w:val="00A2417D"/>
    <w:rsid w:val="00A24C6C"/>
    <w:rsid w:val="00A26D39"/>
    <w:rsid w:val="00A27651"/>
    <w:rsid w:val="00A3066D"/>
    <w:rsid w:val="00A31BF0"/>
    <w:rsid w:val="00A34094"/>
    <w:rsid w:val="00A34BD7"/>
    <w:rsid w:val="00A366F8"/>
    <w:rsid w:val="00A438EE"/>
    <w:rsid w:val="00A43F1E"/>
    <w:rsid w:val="00A50F7B"/>
    <w:rsid w:val="00A51708"/>
    <w:rsid w:val="00A521AC"/>
    <w:rsid w:val="00A52503"/>
    <w:rsid w:val="00A53E52"/>
    <w:rsid w:val="00A53EC3"/>
    <w:rsid w:val="00A57847"/>
    <w:rsid w:val="00A701DB"/>
    <w:rsid w:val="00A7033A"/>
    <w:rsid w:val="00A72B24"/>
    <w:rsid w:val="00A75559"/>
    <w:rsid w:val="00A75733"/>
    <w:rsid w:val="00A76398"/>
    <w:rsid w:val="00A825DE"/>
    <w:rsid w:val="00A82700"/>
    <w:rsid w:val="00A854D1"/>
    <w:rsid w:val="00A8768C"/>
    <w:rsid w:val="00A878E5"/>
    <w:rsid w:val="00A9193E"/>
    <w:rsid w:val="00A940A0"/>
    <w:rsid w:val="00A95553"/>
    <w:rsid w:val="00A95BF3"/>
    <w:rsid w:val="00A966BD"/>
    <w:rsid w:val="00A976A6"/>
    <w:rsid w:val="00AA02DE"/>
    <w:rsid w:val="00AA130C"/>
    <w:rsid w:val="00AA244A"/>
    <w:rsid w:val="00AA2959"/>
    <w:rsid w:val="00AA37B1"/>
    <w:rsid w:val="00AA3FC8"/>
    <w:rsid w:val="00AA578A"/>
    <w:rsid w:val="00AA636D"/>
    <w:rsid w:val="00AA7477"/>
    <w:rsid w:val="00AB2C1D"/>
    <w:rsid w:val="00AB4EA2"/>
    <w:rsid w:val="00AB7038"/>
    <w:rsid w:val="00AB7309"/>
    <w:rsid w:val="00AC087F"/>
    <w:rsid w:val="00AC0BA8"/>
    <w:rsid w:val="00AC2577"/>
    <w:rsid w:val="00AC364C"/>
    <w:rsid w:val="00AC3CE6"/>
    <w:rsid w:val="00AC451D"/>
    <w:rsid w:val="00AC74F3"/>
    <w:rsid w:val="00AD187E"/>
    <w:rsid w:val="00AD4822"/>
    <w:rsid w:val="00AD4F2B"/>
    <w:rsid w:val="00AD5FCB"/>
    <w:rsid w:val="00AE706A"/>
    <w:rsid w:val="00AF08B0"/>
    <w:rsid w:val="00AF0D8E"/>
    <w:rsid w:val="00AF7286"/>
    <w:rsid w:val="00AF7BCC"/>
    <w:rsid w:val="00B0260A"/>
    <w:rsid w:val="00B03AAA"/>
    <w:rsid w:val="00B05254"/>
    <w:rsid w:val="00B07107"/>
    <w:rsid w:val="00B108C3"/>
    <w:rsid w:val="00B120FF"/>
    <w:rsid w:val="00B12B87"/>
    <w:rsid w:val="00B13D52"/>
    <w:rsid w:val="00B20357"/>
    <w:rsid w:val="00B216CC"/>
    <w:rsid w:val="00B241AB"/>
    <w:rsid w:val="00B26470"/>
    <w:rsid w:val="00B30A46"/>
    <w:rsid w:val="00B3123F"/>
    <w:rsid w:val="00B32007"/>
    <w:rsid w:val="00B33847"/>
    <w:rsid w:val="00B34FE1"/>
    <w:rsid w:val="00B40857"/>
    <w:rsid w:val="00B41A2B"/>
    <w:rsid w:val="00B4201B"/>
    <w:rsid w:val="00B457F7"/>
    <w:rsid w:val="00B464AF"/>
    <w:rsid w:val="00B52B33"/>
    <w:rsid w:val="00B52CA7"/>
    <w:rsid w:val="00B52CD0"/>
    <w:rsid w:val="00B534D3"/>
    <w:rsid w:val="00B53A2D"/>
    <w:rsid w:val="00B5447C"/>
    <w:rsid w:val="00B5463D"/>
    <w:rsid w:val="00B55C53"/>
    <w:rsid w:val="00B62D80"/>
    <w:rsid w:val="00B64B06"/>
    <w:rsid w:val="00B65350"/>
    <w:rsid w:val="00B65D8A"/>
    <w:rsid w:val="00B70DCD"/>
    <w:rsid w:val="00B71A68"/>
    <w:rsid w:val="00B71CB6"/>
    <w:rsid w:val="00B73049"/>
    <w:rsid w:val="00B76D28"/>
    <w:rsid w:val="00B80DC5"/>
    <w:rsid w:val="00B82B6C"/>
    <w:rsid w:val="00B847C7"/>
    <w:rsid w:val="00B85EA2"/>
    <w:rsid w:val="00B8753B"/>
    <w:rsid w:val="00B91EC3"/>
    <w:rsid w:val="00B91FB3"/>
    <w:rsid w:val="00B938B0"/>
    <w:rsid w:val="00B9418F"/>
    <w:rsid w:val="00B96FFE"/>
    <w:rsid w:val="00B973FB"/>
    <w:rsid w:val="00BA0B03"/>
    <w:rsid w:val="00BB026E"/>
    <w:rsid w:val="00BB3502"/>
    <w:rsid w:val="00BB542B"/>
    <w:rsid w:val="00BB683E"/>
    <w:rsid w:val="00BB6D51"/>
    <w:rsid w:val="00BB7EE0"/>
    <w:rsid w:val="00BC2C0F"/>
    <w:rsid w:val="00BC4B0D"/>
    <w:rsid w:val="00BC6488"/>
    <w:rsid w:val="00BD16E0"/>
    <w:rsid w:val="00BD3F87"/>
    <w:rsid w:val="00BE338B"/>
    <w:rsid w:val="00BE372E"/>
    <w:rsid w:val="00BE4BAD"/>
    <w:rsid w:val="00BE5D1A"/>
    <w:rsid w:val="00BE7D2C"/>
    <w:rsid w:val="00BF0FDF"/>
    <w:rsid w:val="00BF257F"/>
    <w:rsid w:val="00BF29CA"/>
    <w:rsid w:val="00BF2D15"/>
    <w:rsid w:val="00C00607"/>
    <w:rsid w:val="00C02FC8"/>
    <w:rsid w:val="00C04B3F"/>
    <w:rsid w:val="00C071F8"/>
    <w:rsid w:val="00C119D2"/>
    <w:rsid w:val="00C13AFF"/>
    <w:rsid w:val="00C14074"/>
    <w:rsid w:val="00C15CA6"/>
    <w:rsid w:val="00C20D97"/>
    <w:rsid w:val="00C22109"/>
    <w:rsid w:val="00C246CE"/>
    <w:rsid w:val="00C24EC6"/>
    <w:rsid w:val="00C310AF"/>
    <w:rsid w:val="00C33A8C"/>
    <w:rsid w:val="00C34B66"/>
    <w:rsid w:val="00C42883"/>
    <w:rsid w:val="00C42F8C"/>
    <w:rsid w:val="00C43206"/>
    <w:rsid w:val="00C456E8"/>
    <w:rsid w:val="00C557C2"/>
    <w:rsid w:val="00C5767C"/>
    <w:rsid w:val="00C60384"/>
    <w:rsid w:val="00C63835"/>
    <w:rsid w:val="00C6609C"/>
    <w:rsid w:val="00C75498"/>
    <w:rsid w:val="00C755E5"/>
    <w:rsid w:val="00C776CE"/>
    <w:rsid w:val="00C81927"/>
    <w:rsid w:val="00C81A4E"/>
    <w:rsid w:val="00C82EDA"/>
    <w:rsid w:val="00C86DCE"/>
    <w:rsid w:val="00C873E6"/>
    <w:rsid w:val="00C93006"/>
    <w:rsid w:val="00C9401A"/>
    <w:rsid w:val="00C94F14"/>
    <w:rsid w:val="00C95914"/>
    <w:rsid w:val="00C96A9F"/>
    <w:rsid w:val="00C971FD"/>
    <w:rsid w:val="00CA0B7C"/>
    <w:rsid w:val="00CA1226"/>
    <w:rsid w:val="00CA19AD"/>
    <w:rsid w:val="00CA2AB2"/>
    <w:rsid w:val="00CA3FB6"/>
    <w:rsid w:val="00CA4687"/>
    <w:rsid w:val="00CA68A4"/>
    <w:rsid w:val="00CA6EEA"/>
    <w:rsid w:val="00CB2DE2"/>
    <w:rsid w:val="00CB2E87"/>
    <w:rsid w:val="00CC001F"/>
    <w:rsid w:val="00CC0CEA"/>
    <w:rsid w:val="00CC1856"/>
    <w:rsid w:val="00CC1FD5"/>
    <w:rsid w:val="00CC24CA"/>
    <w:rsid w:val="00CC4784"/>
    <w:rsid w:val="00CC4D7F"/>
    <w:rsid w:val="00CC530F"/>
    <w:rsid w:val="00CC7D44"/>
    <w:rsid w:val="00CD3D49"/>
    <w:rsid w:val="00CD6C4D"/>
    <w:rsid w:val="00CE02DF"/>
    <w:rsid w:val="00CE200F"/>
    <w:rsid w:val="00CE2659"/>
    <w:rsid w:val="00CE2988"/>
    <w:rsid w:val="00CE46CE"/>
    <w:rsid w:val="00CE4B82"/>
    <w:rsid w:val="00CE594A"/>
    <w:rsid w:val="00CF189F"/>
    <w:rsid w:val="00CF1CFA"/>
    <w:rsid w:val="00CF253E"/>
    <w:rsid w:val="00D020A2"/>
    <w:rsid w:val="00D0350D"/>
    <w:rsid w:val="00D03997"/>
    <w:rsid w:val="00D04777"/>
    <w:rsid w:val="00D050C3"/>
    <w:rsid w:val="00D0696B"/>
    <w:rsid w:val="00D07F3F"/>
    <w:rsid w:val="00D1063F"/>
    <w:rsid w:val="00D10A67"/>
    <w:rsid w:val="00D11CD6"/>
    <w:rsid w:val="00D11FE5"/>
    <w:rsid w:val="00D14565"/>
    <w:rsid w:val="00D1499D"/>
    <w:rsid w:val="00D164F4"/>
    <w:rsid w:val="00D16C06"/>
    <w:rsid w:val="00D20707"/>
    <w:rsid w:val="00D22543"/>
    <w:rsid w:val="00D227D4"/>
    <w:rsid w:val="00D235EA"/>
    <w:rsid w:val="00D23B44"/>
    <w:rsid w:val="00D262AC"/>
    <w:rsid w:val="00D32911"/>
    <w:rsid w:val="00D34C4B"/>
    <w:rsid w:val="00D355DA"/>
    <w:rsid w:val="00D44AD6"/>
    <w:rsid w:val="00D4515C"/>
    <w:rsid w:val="00D47136"/>
    <w:rsid w:val="00D50533"/>
    <w:rsid w:val="00D51A5F"/>
    <w:rsid w:val="00D528B3"/>
    <w:rsid w:val="00D52B12"/>
    <w:rsid w:val="00D5425F"/>
    <w:rsid w:val="00D569A5"/>
    <w:rsid w:val="00D662B9"/>
    <w:rsid w:val="00D6630E"/>
    <w:rsid w:val="00D66990"/>
    <w:rsid w:val="00D71BA9"/>
    <w:rsid w:val="00D730F5"/>
    <w:rsid w:val="00D750A9"/>
    <w:rsid w:val="00D75587"/>
    <w:rsid w:val="00D776F1"/>
    <w:rsid w:val="00D778E8"/>
    <w:rsid w:val="00D80759"/>
    <w:rsid w:val="00D823AD"/>
    <w:rsid w:val="00D82675"/>
    <w:rsid w:val="00D82CD5"/>
    <w:rsid w:val="00D84303"/>
    <w:rsid w:val="00D8471E"/>
    <w:rsid w:val="00D90FC3"/>
    <w:rsid w:val="00D92EEC"/>
    <w:rsid w:val="00D935DF"/>
    <w:rsid w:val="00D94451"/>
    <w:rsid w:val="00D958E0"/>
    <w:rsid w:val="00DA29C5"/>
    <w:rsid w:val="00DA3123"/>
    <w:rsid w:val="00DA65BE"/>
    <w:rsid w:val="00DB07FB"/>
    <w:rsid w:val="00DB5BC0"/>
    <w:rsid w:val="00DC314D"/>
    <w:rsid w:val="00DC384F"/>
    <w:rsid w:val="00DC40F4"/>
    <w:rsid w:val="00DC4165"/>
    <w:rsid w:val="00DC48B1"/>
    <w:rsid w:val="00DC6996"/>
    <w:rsid w:val="00DC7564"/>
    <w:rsid w:val="00DD08A8"/>
    <w:rsid w:val="00DD21FF"/>
    <w:rsid w:val="00DD386A"/>
    <w:rsid w:val="00DD4584"/>
    <w:rsid w:val="00DD4D9E"/>
    <w:rsid w:val="00DD532A"/>
    <w:rsid w:val="00DD58AB"/>
    <w:rsid w:val="00DD66AA"/>
    <w:rsid w:val="00DE09E7"/>
    <w:rsid w:val="00DE3601"/>
    <w:rsid w:val="00DE5C32"/>
    <w:rsid w:val="00DE5D4D"/>
    <w:rsid w:val="00DF2DE2"/>
    <w:rsid w:val="00DF4127"/>
    <w:rsid w:val="00E00A31"/>
    <w:rsid w:val="00E01FF9"/>
    <w:rsid w:val="00E0395D"/>
    <w:rsid w:val="00E07152"/>
    <w:rsid w:val="00E108D5"/>
    <w:rsid w:val="00E13CD4"/>
    <w:rsid w:val="00E16E87"/>
    <w:rsid w:val="00E17642"/>
    <w:rsid w:val="00E201FF"/>
    <w:rsid w:val="00E218DF"/>
    <w:rsid w:val="00E21B87"/>
    <w:rsid w:val="00E23736"/>
    <w:rsid w:val="00E23FD3"/>
    <w:rsid w:val="00E248C2"/>
    <w:rsid w:val="00E3055B"/>
    <w:rsid w:val="00E31A8C"/>
    <w:rsid w:val="00E32549"/>
    <w:rsid w:val="00E325DC"/>
    <w:rsid w:val="00E34275"/>
    <w:rsid w:val="00E34A85"/>
    <w:rsid w:val="00E35C83"/>
    <w:rsid w:val="00E377D1"/>
    <w:rsid w:val="00E41E6F"/>
    <w:rsid w:val="00E464BF"/>
    <w:rsid w:val="00E4711F"/>
    <w:rsid w:val="00E50061"/>
    <w:rsid w:val="00E508CA"/>
    <w:rsid w:val="00E5229A"/>
    <w:rsid w:val="00E54F1A"/>
    <w:rsid w:val="00E56FA8"/>
    <w:rsid w:val="00E57999"/>
    <w:rsid w:val="00E62850"/>
    <w:rsid w:val="00E62A36"/>
    <w:rsid w:val="00E64DF6"/>
    <w:rsid w:val="00E70195"/>
    <w:rsid w:val="00E710F2"/>
    <w:rsid w:val="00E72EF5"/>
    <w:rsid w:val="00E7305C"/>
    <w:rsid w:val="00E74102"/>
    <w:rsid w:val="00E74338"/>
    <w:rsid w:val="00E745BF"/>
    <w:rsid w:val="00E749BA"/>
    <w:rsid w:val="00E750CA"/>
    <w:rsid w:val="00E76C13"/>
    <w:rsid w:val="00E76E81"/>
    <w:rsid w:val="00E7714D"/>
    <w:rsid w:val="00E775A3"/>
    <w:rsid w:val="00E77E55"/>
    <w:rsid w:val="00E8026E"/>
    <w:rsid w:val="00E81DB0"/>
    <w:rsid w:val="00E8273D"/>
    <w:rsid w:val="00E8365B"/>
    <w:rsid w:val="00E851E0"/>
    <w:rsid w:val="00E8607A"/>
    <w:rsid w:val="00E93D79"/>
    <w:rsid w:val="00E942D7"/>
    <w:rsid w:val="00E94E34"/>
    <w:rsid w:val="00E97829"/>
    <w:rsid w:val="00EA0837"/>
    <w:rsid w:val="00EA23F3"/>
    <w:rsid w:val="00EA6335"/>
    <w:rsid w:val="00EB0049"/>
    <w:rsid w:val="00EB1394"/>
    <w:rsid w:val="00EB2520"/>
    <w:rsid w:val="00EB3EB7"/>
    <w:rsid w:val="00EB49F1"/>
    <w:rsid w:val="00EB5E89"/>
    <w:rsid w:val="00EB7DD7"/>
    <w:rsid w:val="00EB7E6D"/>
    <w:rsid w:val="00EC0796"/>
    <w:rsid w:val="00EC07CC"/>
    <w:rsid w:val="00EC2C2C"/>
    <w:rsid w:val="00EC3B84"/>
    <w:rsid w:val="00EC3C03"/>
    <w:rsid w:val="00EC413B"/>
    <w:rsid w:val="00EC4637"/>
    <w:rsid w:val="00EC4DC5"/>
    <w:rsid w:val="00EC5661"/>
    <w:rsid w:val="00ED6E03"/>
    <w:rsid w:val="00EE08DA"/>
    <w:rsid w:val="00EE1D01"/>
    <w:rsid w:val="00EE247E"/>
    <w:rsid w:val="00EE36F3"/>
    <w:rsid w:val="00EE51F6"/>
    <w:rsid w:val="00EE5D23"/>
    <w:rsid w:val="00EE5E51"/>
    <w:rsid w:val="00EE7158"/>
    <w:rsid w:val="00EF35C3"/>
    <w:rsid w:val="00EF4FE5"/>
    <w:rsid w:val="00EF57AB"/>
    <w:rsid w:val="00EF5E93"/>
    <w:rsid w:val="00F02C65"/>
    <w:rsid w:val="00F0459C"/>
    <w:rsid w:val="00F0528E"/>
    <w:rsid w:val="00F06DB0"/>
    <w:rsid w:val="00F07370"/>
    <w:rsid w:val="00F10896"/>
    <w:rsid w:val="00F12F1C"/>
    <w:rsid w:val="00F139D3"/>
    <w:rsid w:val="00F15A1D"/>
    <w:rsid w:val="00F16615"/>
    <w:rsid w:val="00F2097F"/>
    <w:rsid w:val="00F2119B"/>
    <w:rsid w:val="00F21BA2"/>
    <w:rsid w:val="00F2617D"/>
    <w:rsid w:val="00F274E9"/>
    <w:rsid w:val="00F3162C"/>
    <w:rsid w:val="00F319E1"/>
    <w:rsid w:val="00F33140"/>
    <w:rsid w:val="00F33CD4"/>
    <w:rsid w:val="00F3731C"/>
    <w:rsid w:val="00F44E56"/>
    <w:rsid w:val="00F460A7"/>
    <w:rsid w:val="00F464D4"/>
    <w:rsid w:val="00F46F4A"/>
    <w:rsid w:val="00F508C1"/>
    <w:rsid w:val="00F53093"/>
    <w:rsid w:val="00F53A17"/>
    <w:rsid w:val="00F54669"/>
    <w:rsid w:val="00F555FA"/>
    <w:rsid w:val="00F608E4"/>
    <w:rsid w:val="00F61900"/>
    <w:rsid w:val="00F6298F"/>
    <w:rsid w:val="00F6413C"/>
    <w:rsid w:val="00F65883"/>
    <w:rsid w:val="00F7012E"/>
    <w:rsid w:val="00F730D7"/>
    <w:rsid w:val="00F74C95"/>
    <w:rsid w:val="00F751E4"/>
    <w:rsid w:val="00F75DFF"/>
    <w:rsid w:val="00F76422"/>
    <w:rsid w:val="00F771C0"/>
    <w:rsid w:val="00F77BEA"/>
    <w:rsid w:val="00F81B2D"/>
    <w:rsid w:val="00F82EC3"/>
    <w:rsid w:val="00F85931"/>
    <w:rsid w:val="00F85E01"/>
    <w:rsid w:val="00F93A74"/>
    <w:rsid w:val="00F95A6E"/>
    <w:rsid w:val="00FA186E"/>
    <w:rsid w:val="00FA1C0A"/>
    <w:rsid w:val="00FA4002"/>
    <w:rsid w:val="00FA46B8"/>
    <w:rsid w:val="00FA60A4"/>
    <w:rsid w:val="00FB12C8"/>
    <w:rsid w:val="00FB393C"/>
    <w:rsid w:val="00FB4D05"/>
    <w:rsid w:val="00FB7A31"/>
    <w:rsid w:val="00FC080A"/>
    <w:rsid w:val="00FC0F7A"/>
    <w:rsid w:val="00FC14ED"/>
    <w:rsid w:val="00FC228C"/>
    <w:rsid w:val="00FC694D"/>
    <w:rsid w:val="00FC7671"/>
    <w:rsid w:val="00FD0E19"/>
    <w:rsid w:val="00FD2129"/>
    <w:rsid w:val="00FD2F7A"/>
    <w:rsid w:val="00FD58FD"/>
    <w:rsid w:val="00FE1462"/>
    <w:rsid w:val="00FE4B3B"/>
    <w:rsid w:val="00FE645B"/>
    <w:rsid w:val="00FF2E10"/>
    <w:rsid w:val="00FF44AF"/>
    <w:rsid w:val="00FF5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2B38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678"/>
    <w:pPr>
      <w:spacing w:after="0" w:line="240" w:lineRule="auto"/>
    </w:pPr>
    <w:rPr>
      <w:rFonts w:ascii="Arial" w:eastAsia="Times New Roman" w:hAnsi="Arial" w:cs="Arial"/>
      <w:lang w:eastAsia="en-GB"/>
    </w:rPr>
  </w:style>
  <w:style w:type="paragraph" w:styleId="Heading1">
    <w:name w:val="heading 1"/>
    <w:basedOn w:val="Normal"/>
    <w:link w:val="Heading1Char"/>
    <w:uiPriority w:val="9"/>
    <w:qFormat/>
    <w:rsid w:val="00D16C06"/>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4213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rmal"/>
    <w:uiPriority w:val="99"/>
    <w:rsid w:val="00982678"/>
    <w:pPr>
      <w:spacing w:before="120" w:after="120"/>
    </w:pPr>
    <w:rPr>
      <w:smallCaps/>
      <w:sz w:val="24"/>
      <w:szCs w:val="24"/>
      <w:lang w:eastAsia="en-US"/>
    </w:rPr>
  </w:style>
  <w:style w:type="character" w:styleId="CommentReference">
    <w:name w:val="annotation reference"/>
    <w:basedOn w:val="DefaultParagraphFont"/>
    <w:uiPriority w:val="99"/>
    <w:rsid w:val="00982678"/>
    <w:rPr>
      <w:rFonts w:cs="Times New Roman"/>
      <w:sz w:val="16"/>
    </w:rPr>
  </w:style>
  <w:style w:type="paragraph" w:styleId="CommentText">
    <w:name w:val="annotation text"/>
    <w:basedOn w:val="Normal"/>
    <w:link w:val="CommentTextChar"/>
    <w:uiPriority w:val="99"/>
    <w:unhideWhenUsed/>
    <w:rsid w:val="00982678"/>
    <w:pPr>
      <w:autoSpaceDE w:val="0"/>
      <w:autoSpaceDN w:val="0"/>
      <w:adjustRightInd w:val="0"/>
      <w:spacing w:line="480" w:lineRule="auto"/>
    </w:pPr>
    <w:rPr>
      <w:lang w:eastAsia="ja-JP"/>
    </w:rPr>
  </w:style>
  <w:style w:type="character" w:customStyle="1" w:styleId="CommentTextChar">
    <w:name w:val="Comment Text Char"/>
    <w:basedOn w:val="DefaultParagraphFont"/>
    <w:link w:val="CommentText"/>
    <w:uiPriority w:val="99"/>
    <w:rsid w:val="00982678"/>
    <w:rPr>
      <w:rFonts w:ascii="Arial" w:eastAsia="Times New Roman" w:hAnsi="Arial" w:cs="Arial"/>
      <w:lang w:eastAsia="ja-JP"/>
    </w:rPr>
  </w:style>
  <w:style w:type="paragraph" w:styleId="NormalWeb">
    <w:name w:val="Normal (Web)"/>
    <w:basedOn w:val="Normal"/>
    <w:uiPriority w:val="99"/>
    <w:rsid w:val="00982678"/>
    <w:rPr>
      <w:sz w:val="24"/>
      <w:szCs w:val="24"/>
    </w:rPr>
  </w:style>
  <w:style w:type="character" w:styleId="Hyperlink">
    <w:name w:val="Hyperlink"/>
    <w:basedOn w:val="DefaultParagraphFont"/>
    <w:uiPriority w:val="99"/>
    <w:rsid w:val="00982678"/>
    <w:rPr>
      <w:rFonts w:cs="Times New Roman"/>
      <w:color w:val="0000FF"/>
      <w:u w:val="single"/>
    </w:rPr>
  </w:style>
  <w:style w:type="paragraph" w:styleId="ListParagraph">
    <w:name w:val="List Paragraph"/>
    <w:basedOn w:val="Normal"/>
    <w:link w:val="ListParagraphChar"/>
    <w:uiPriority w:val="34"/>
    <w:qFormat/>
    <w:rsid w:val="00982678"/>
    <w:pPr>
      <w:ind w:left="720"/>
    </w:pPr>
  </w:style>
  <w:style w:type="character" w:customStyle="1" w:styleId="EndNoteBibliographyChar">
    <w:name w:val="EndNote Bibliography Char"/>
    <w:basedOn w:val="DefaultParagraphFont"/>
    <w:link w:val="EndNoteBibliography"/>
    <w:locked/>
    <w:rsid w:val="00982678"/>
    <w:rPr>
      <w:rFonts w:ascii="Arial" w:hAnsi="Arial" w:cs="Arial"/>
      <w:lang w:val="en-US"/>
    </w:rPr>
  </w:style>
  <w:style w:type="paragraph" w:customStyle="1" w:styleId="EndNoteBibliography">
    <w:name w:val="EndNote Bibliography"/>
    <w:basedOn w:val="Normal"/>
    <w:link w:val="EndNoteBibliographyChar"/>
    <w:rsid w:val="00982678"/>
    <w:rPr>
      <w:rFonts w:eastAsiaTheme="minorHAnsi"/>
      <w:lang w:val="en-US" w:eastAsia="en-US"/>
    </w:rPr>
  </w:style>
  <w:style w:type="paragraph" w:styleId="BalloonText">
    <w:name w:val="Balloon Text"/>
    <w:basedOn w:val="Normal"/>
    <w:link w:val="BalloonTextChar"/>
    <w:uiPriority w:val="99"/>
    <w:semiHidden/>
    <w:unhideWhenUsed/>
    <w:rsid w:val="009826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678"/>
    <w:rPr>
      <w:rFonts w:ascii="Segoe UI" w:eastAsia="Times New Roman" w:hAnsi="Segoe UI" w:cs="Segoe UI"/>
      <w:sz w:val="18"/>
      <w:szCs w:val="18"/>
      <w:lang w:eastAsia="en-GB"/>
    </w:rPr>
  </w:style>
  <w:style w:type="character" w:customStyle="1" w:styleId="Heading1Char">
    <w:name w:val="Heading 1 Char"/>
    <w:basedOn w:val="DefaultParagraphFont"/>
    <w:link w:val="Heading1"/>
    <w:uiPriority w:val="9"/>
    <w:rsid w:val="00D16C06"/>
    <w:rPr>
      <w:rFonts w:ascii="Times New Roman" w:eastAsia="Times New Roman" w:hAnsi="Times New Roman" w:cs="Times New Roman"/>
      <w:b/>
      <w:bCs/>
      <w:kern w:val="36"/>
      <w:sz w:val="48"/>
      <w:szCs w:val="48"/>
      <w:lang w:eastAsia="en-GB"/>
    </w:rPr>
  </w:style>
  <w:style w:type="character" w:customStyle="1" w:styleId="epub-state">
    <w:name w:val="epub-state"/>
    <w:basedOn w:val="DefaultParagraphFont"/>
    <w:rsid w:val="00D16C06"/>
  </w:style>
  <w:style w:type="character" w:customStyle="1" w:styleId="epub-date">
    <w:name w:val="epub-date"/>
    <w:basedOn w:val="DefaultParagraphFont"/>
    <w:rsid w:val="00D16C06"/>
  </w:style>
  <w:style w:type="character" w:customStyle="1" w:styleId="Heading2Char">
    <w:name w:val="Heading 2 Char"/>
    <w:basedOn w:val="DefaultParagraphFont"/>
    <w:link w:val="Heading2"/>
    <w:uiPriority w:val="9"/>
    <w:semiHidden/>
    <w:rsid w:val="0084213B"/>
    <w:rPr>
      <w:rFonts w:asciiTheme="majorHAnsi" w:eastAsiaTheme="majorEastAsia" w:hAnsiTheme="majorHAnsi" w:cstheme="majorBidi"/>
      <w:color w:val="2F5496" w:themeColor="accent1" w:themeShade="BF"/>
      <w:sz w:val="26"/>
      <w:szCs w:val="26"/>
      <w:lang w:eastAsia="en-GB"/>
    </w:rPr>
  </w:style>
  <w:style w:type="character" w:customStyle="1" w:styleId="ellipsis">
    <w:name w:val="ellipsis"/>
    <w:basedOn w:val="DefaultParagraphFont"/>
    <w:rsid w:val="0084213B"/>
  </w:style>
  <w:style w:type="character" w:styleId="Emphasis">
    <w:name w:val="Emphasis"/>
    <w:basedOn w:val="DefaultParagraphFont"/>
    <w:uiPriority w:val="20"/>
    <w:qFormat/>
    <w:rsid w:val="00D11FE5"/>
    <w:rPr>
      <w:i/>
      <w:iCs/>
    </w:rPr>
  </w:style>
  <w:style w:type="character" w:customStyle="1" w:styleId="pubyear">
    <w:name w:val="pubyear"/>
    <w:basedOn w:val="DefaultParagraphFont"/>
    <w:rsid w:val="009B00B3"/>
  </w:style>
  <w:style w:type="character" w:customStyle="1" w:styleId="articletitle">
    <w:name w:val="articletitle"/>
    <w:basedOn w:val="DefaultParagraphFont"/>
    <w:rsid w:val="009B00B3"/>
  </w:style>
  <w:style w:type="character" w:customStyle="1" w:styleId="vol">
    <w:name w:val="vol"/>
    <w:basedOn w:val="DefaultParagraphFont"/>
    <w:rsid w:val="009B00B3"/>
  </w:style>
  <w:style w:type="character" w:customStyle="1" w:styleId="pagefirst">
    <w:name w:val="pagefirst"/>
    <w:basedOn w:val="DefaultParagraphFont"/>
    <w:rsid w:val="009B00B3"/>
  </w:style>
  <w:style w:type="character" w:customStyle="1" w:styleId="pagelast">
    <w:name w:val="pagelast"/>
    <w:basedOn w:val="DefaultParagraphFont"/>
    <w:rsid w:val="009B00B3"/>
  </w:style>
  <w:style w:type="character" w:customStyle="1" w:styleId="groupname">
    <w:name w:val="groupname"/>
    <w:basedOn w:val="DefaultParagraphFont"/>
    <w:rsid w:val="009B00B3"/>
  </w:style>
  <w:style w:type="character" w:customStyle="1" w:styleId="othertitle">
    <w:name w:val="othertitle"/>
    <w:basedOn w:val="DefaultParagraphFont"/>
    <w:rsid w:val="009B00B3"/>
  </w:style>
  <w:style w:type="character" w:customStyle="1" w:styleId="publisherlocation">
    <w:name w:val="publisherlocation"/>
    <w:basedOn w:val="DefaultParagraphFont"/>
    <w:rsid w:val="009B00B3"/>
  </w:style>
  <w:style w:type="character" w:customStyle="1" w:styleId="citedissue">
    <w:name w:val="citedissue"/>
    <w:basedOn w:val="DefaultParagraphFont"/>
    <w:rsid w:val="009B00B3"/>
  </w:style>
  <w:style w:type="character" w:styleId="Strong">
    <w:name w:val="Strong"/>
    <w:basedOn w:val="DefaultParagraphFont"/>
    <w:uiPriority w:val="22"/>
    <w:qFormat/>
    <w:rsid w:val="002A5FAF"/>
    <w:rPr>
      <w:b/>
      <w:bCs/>
    </w:rPr>
  </w:style>
  <w:style w:type="paragraph" w:styleId="CommentSubject">
    <w:name w:val="annotation subject"/>
    <w:basedOn w:val="CommentText"/>
    <w:next w:val="CommentText"/>
    <w:link w:val="CommentSubjectChar"/>
    <w:uiPriority w:val="99"/>
    <w:semiHidden/>
    <w:unhideWhenUsed/>
    <w:rsid w:val="00B5463D"/>
    <w:pPr>
      <w:autoSpaceDE/>
      <w:autoSpaceDN/>
      <w:adjustRightInd/>
      <w:spacing w:line="240" w:lineRule="auto"/>
    </w:pPr>
    <w:rPr>
      <w:b/>
      <w:bCs/>
      <w:sz w:val="20"/>
      <w:szCs w:val="20"/>
      <w:lang w:eastAsia="en-GB"/>
    </w:rPr>
  </w:style>
  <w:style w:type="character" w:customStyle="1" w:styleId="CommentSubjectChar">
    <w:name w:val="Comment Subject Char"/>
    <w:basedOn w:val="CommentTextChar"/>
    <w:link w:val="CommentSubject"/>
    <w:uiPriority w:val="99"/>
    <w:semiHidden/>
    <w:rsid w:val="00B5463D"/>
    <w:rPr>
      <w:rFonts w:ascii="Arial" w:eastAsia="Times New Roman" w:hAnsi="Arial" w:cs="Arial"/>
      <w:b/>
      <w:bCs/>
      <w:sz w:val="20"/>
      <w:szCs w:val="20"/>
      <w:lang w:eastAsia="en-GB"/>
    </w:rPr>
  </w:style>
  <w:style w:type="paragraph" w:styleId="Header">
    <w:name w:val="header"/>
    <w:basedOn w:val="Normal"/>
    <w:link w:val="HeaderChar"/>
    <w:uiPriority w:val="99"/>
    <w:unhideWhenUsed/>
    <w:rsid w:val="00805CBA"/>
    <w:pPr>
      <w:tabs>
        <w:tab w:val="center" w:pos="4513"/>
        <w:tab w:val="right" w:pos="9026"/>
      </w:tabs>
    </w:pPr>
  </w:style>
  <w:style w:type="character" w:customStyle="1" w:styleId="HeaderChar">
    <w:name w:val="Header Char"/>
    <w:basedOn w:val="DefaultParagraphFont"/>
    <w:link w:val="Header"/>
    <w:uiPriority w:val="99"/>
    <w:rsid w:val="00805CBA"/>
    <w:rPr>
      <w:rFonts w:ascii="Arial" w:eastAsia="Times New Roman" w:hAnsi="Arial" w:cs="Arial"/>
      <w:lang w:eastAsia="en-GB"/>
    </w:rPr>
  </w:style>
  <w:style w:type="paragraph" w:styleId="Footer">
    <w:name w:val="footer"/>
    <w:basedOn w:val="Normal"/>
    <w:link w:val="FooterChar"/>
    <w:uiPriority w:val="99"/>
    <w:unhideWhenUsed/>
    <w:rsid w:val="00805CBA"/>
    <w:pPr>
      <w:tabs>
        <w:tab w:val="center" w:pos="4513"/>
        <w:tab w:val="right" w:pos="9026"/>
      </w:tabs>
    </w:pPr>
  </w:style>
  <w:style w:type="character" w:customStyle="1" w:styleId="FooterChar">
    <w:name w:val="Footer Char"/>
    <w:basedOn w:val="DefaultParagraphFont"/>
    <w:link w:val="Footer"/>
    <w:uiPriority w:val="99"/>
    <w:rsid w:val="00805CBA"/>
    <w:rPr>
      <w:rFonts w:ascii="Arial" w:eastAsia="Times New Roman" w:hAnsi="Arial" w:cs="Arial"/>
      <w:lang w:eastAsia="en-GB"/>
    </w:rPr>
  </w:style>
  <w:style w:type="paragraph" w:customStyle="1" w:styleId="Default">
    <w:name w:val="Default"/>
    <w:rsid w:val="00020154"/>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7A6BE7"/>
    <w:pPr>
      <w:spacing w:after="0" w:line="240" w:lineRule="auto"/>
    </w:pPr>
    <w:rPr>
      <w:rFonts w:ascii="Arial" w:eastAsia="Times New Roman" w:hAnsi="Arial" w:cs="Arial"/>
      <w:lang w:eastAsia="en-GB"/>
    </w:rPr>
  </w:style>
  <w:style w:type="paragraph" w:styleId="Bibliography">
    <w:name w:val="Bibliography"/>
    <w:basedOn w:val="Normal"/>
    <w:next w:val="Normal"/>
    <w:uiPriority w:val="37"/>
    <w:unhideWhenUsed/>
    <w:rsid w:val="007E126A"/>
  </w:style>
  <w:style w:type="character" w:customStyle="1" w:styleId="UnresolvedMention1">
    <w:name w:val="Unresolved Mention1"/>
    <w:basedOn w:val="DefaultParagraphFont"/>
    <w:uiPriority w:val="99"/>
    <w:semiHidden/>
    <w:unhideWhenUsed/>
    <w:rsid w:val="007E126A"/>
    <w:rPr>
      <w:color w:val="605E5C"/>
      <w:shd w:val="clear" w:color="auto" w:fill="E1DFDD"/>
    </w:rPr>
  </w:style>
  <w:style w:type="character" w:styleId="FollowedHyperlink">
    <w:name w:val="FollowedHyperlink"/>
    <w:basedOn w:val="DefaultParagraphFont"/>
    <w:uiPriority w:val="99"/>
    <w:semiHidden/>
    <w:unhideWhenUsed/>
    <w:rsid w:val="00DD08A8"/>
    <w:rPr>
      <w:color w:val="954F72" w:themeColor="followedHyperlink"/>
      <w:u w:val="single"/>
    </w:rPr>
  </w:style>
  <w:style w:type="character" w:customStyle="1" w:styleId="UnresolvedMention2">
    <w:name w:val="Unresolved Mention2"/>
    <w:basedOn w:val="DefaultParagraphFont"/>
    <w:uiPriority w:val="99"/>
    <w:semiHidden/>
    <w:unhideWhenUsed/>
    <w:rsid w:val="00466119"/>
    <w:rPr>
      <w:color w:val="605E5C"/>
      <w:shd w:val="clear" w:color="auto" w:fill="E1DFDD"/>
    </w:rPr>
  </w:style>
  <w:style w:type="character" w:customStyle="1" w:styleId="ListParagraphChar">
    <w:name w:val="List Paragraph Char"/>
    <w:link w:val="ListParagraph"/>
    <w:uiPriority w:val="34"/>
    <w:rsid w:val="00E77E55"/>
    <w:rPr>
      <w:rFonts w:ascii="Arial" w:eastAsia="Times New Roman" w:hAnsi="Arial" w:cs="Arial"/>
      <w:lang w:eastAsia="en-GB"/>
    </w:rPr>
  </w:style>
  <w:style w:type="paragraph" w:customStyle="1" w:styleId="EndNoteBibliographyTitle">
    <w:name w:val="EndNote Bibliography Title"/>
    <w:basedOn w:val="Normal"/>
    <w:link w:val="EndNoteBibliographyTitleChar"/>
    <w:rsid w:val="00EE51F6"/>
    <w:pPr>
      <w:jc w:val="center"/>
    </w:pPr>
    <w:rPr>
      <w:noProof/>
    </w:rPr>
  </w:style>
  <w:style w:type="character" w:customStyle="1" w:styleId="EndNoteBibliographyTitleChar">
    <w:name w:val="EndNote Bibliography Title Char"/>
    <w:basedOn w:val="DefaultParagraphFont"/>
    <w:link w:val="EndNoteBibliographyTitle"/>
    <w:rsid w:val="00EE51F6"/>
    <w:rPr>
      <w:rFonts w:ascii="Arial" w:eastAsia="Times New Roman" w:hAnsi="Arial" w:cs="Arial"/>
      <w:noProof/>
      <w:lang w:eastAsia="en-GB"/>
    </w:rPr>
  </w:style>
  <w:style w:type="character" w:customStyle="1" w:styleId="UnresolvedMention">
    <w:name w:val="Unresolved Mention"/>
    <w:basedOn w:val="DefaultParagraphFont"/>
    <w:uiPriority w:val="99"/>
    <w:semiHidden/>
    <w:unhideWhenUsed/>
    <w:rsid w:val="007E584F"/>
    <w:rPr>
      <w:color w:val="605E5C"/>
      <w:shd w:val="clear" w:color="auto" w:fill="E1DFDD"/>
    </w:rPr>
  </w:style>
  <w:style w:type="table" w:styleId="TableGrid">
    <w:name w:val="Table Grid"/>
    <w:basedOn w:val="TableNormal"/>
    <w:uiPriority w:val="59"/>
    <w:rsid w:val="00773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D50533"/>
  </w:style>
  <w:style w:type="table" w:customStyle="1" w:styleId="ListTable6ColorfulAccent2">
    <w:name w:val="List Table 6 Colorful Accent 2"/>
    <w:basedOn w:val="TableNormal"/>
    <w:uiPriority w:val="51"/>
    <w:rsid w:val="0060124A"/>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PlainText">
    <w:name w:val="Plain Text"/>
    <w:basedOn w:val="Normal"/>
    <w:link w:val="PlainTextChar"/>
    <w:uiPriority w:val="99"/>
    <w:semiHidden/>
    <w:unhideWhenUsed/>
    <w:rsid w:val="006C1DA7"/>
    <w:rPr>
      <w:rFonts w:ascii="Calibri" w:eastAsiaTheme="minorHAnsi" w:hAnsi="Calibri" w:cs="Calibri"/>
      <w:lang w:eastAsia="en-US"/>
    </w:rPr>
  </w:style>
  <w:style w:type="character" w:customStyle="1" w:styleId="PlainTextChar">
    <w:name w:val="Plain Text Char"/>
    <w:basedOn w:val="DefaultParagraphFont"/>
    <w:link w:val="PlainText"/>
    <w:uiPriority w:val="99"/>
    <w:semiHidden/>
    <w:rsid w:val="006C1DA7"/>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678"/>
    <w:pPr>
      <w:spacing w:after="0" w:line="240" w:lineRule="auto"/>
    </w:pPr>
    <w:rPr>
      <w:rFonts w:ascii="Arial" w:eastAsia="Times New Roman" w:hAnsi="Arial" w:cs="Arial"/>
      <w:lang w:eastAsia="en-GB"/>
    </w:rPr>
  </w:style>
  <w:style w:type="paragraph" w:styleId="Heading1">
    <w:name w:val="heading 1"/>
    <w:basedOn w:val="Normal"/>
    <w:link w:val="Heading1Char"/>
    <w:uiPriority w:val="9"/>
    <w:qFormat/>
    <w:rsid w:val="00D16C06"/>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4213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rmal"/>
    <w:uiPriority w:val="99"/>
    <w:rsid w:val="00982678"/>
    <w:pPr>
      <w:spacing w:before="120" w:after="120"/>
    </w:pPr>
    <w:rPr>
      <w:smallCaps/>
      <w:sz w:val="24"/>
      <w:szCs w:val="24"/>
      <w:lang w:eastAsia="en-US"/>
    </w:rPr>
  </w:style>
  <w:style w:type="character" w:styleId="CommentReference">
    <w:name w:val="annotation reference"/>
    <w:basedOn w:val="DefaultParagraphFont"/>
    <w:uiPriority w:val="99"/>
    <w:rsid w:val="00982678"/>
    <w:rPr>
      <w:rFonts w:cs="Times New Roman"/>
      <w:sz w:val="16"/>
    </w:rPr>
  </w:style>
  <w:style w:type="paragraph" w:styleId="CommentText">
    <w:name w:val="annotation text"/>
    <w:basedOn w:val="Normal"/>
    <w:link w:val="CommentTextChar"/>
    <w:uiPriority w:val="99"/>
    <w:unhideWhenUsed/>
    <w:rsid w:val="00982678"/>
    <w:pPr>
      <w:autoSpaceDE w:val="0"/>
      <w:autoSpaceDN w:val="0"/>
      <w:adjustRightInd w:val="0"/>
      <w:spacing w:line="480" w:lineRule="auto"/>
    </w:pPr>
    <w:rPr>
      <w:lang w:eastAsia="ja-JP"/>
    </w:rPr>
  </w:style>
  <w:style w:type="character" w:customStyle="1" w:styleId="CommentTextChar">
    <w:name w:val="Comment Text Char"/>
    <w:basedOn w:val="DefaultParagraphFont"/>
    <w:link w:val="CommentText"/>
    <w:uiPriority w:val="99"/>
    <w:rsid w:val="00982678"/>
    <w:rPr>
      <w:rFonts w:ascii="Arial" w:eastAsia="Times New Roman" w:hAnsi="Arial" w:cs="Arial"/>
      <w:lang w:eastAsia="ja-JP"/>
    </w:rPr>
  </w:style>
  <w:style w:type="paragraph" w:styleId="NormalWeb">
    <w:name w:val="Normal (Web)"/>
    <w:basedOn w:val="Normal"/>
    <w:uiPriority w:val="99"/>
    <w:rsid w:val="00982678"/>
    <w:rPr>
      <w:sz w:val="24"/>
      <w:szCs w:val="24"/>
    </w:rPr>
  </w:style>
  <w:style w:type="character" w:styleId="Hyperlink">
    <w:name w:val="Hyperlink"/>
    <w:basedOn w:val="DefaultParagraphFont"/>
    <w:uiPriority w:val="99"/>
    <w:rsid w:val="00982678"/>
    <w:rPr>
      <w:rFonts w:cs="Times New Roman"/>
      <w:color w:val="0000FF"/>
      <w:u w:val="single"/>
    </w:rPr>
  </w:style>
  <w:style w:type="paragraph" w:styleId="ListParagraph">
    <w:name w:val="List Paragraph"/>
    <w:basedOn w:val="Normal"/>
    <w:link w:val="ListParagraphChar"/>
    <w:uiPriority w:val="34"/>
    <w:qFormat/>
    <w:rsid w:val="00982678"/>
    <w:pPr>
      <w:ind w:left="720"/>
    </w:pPr>
  </w:style>
  <w:style w:type="character" w:customStyle="1" w:styleId="EndNoteBibliographyChar">
    <w:name w:val="EndNote Bibliography Char"/>
    <w:basedOn w:val="DefaultParagraphFont"/>
    <w:link w:val="EndNoteBibliography"/>
    <w:locked/>
    <w:rsid w:val="00982678"/>
    <w:rPr>
      <w:rFonts w:ascii="Arial" w:hAnsi="Arial" w:cs="Arial"/>
      <w:lang w:val="en-US"/>
    </w:rPr>
  </w:style>
  <w:style w:type="paragraph" w:customStyle="1" w:styleId="EndNoteBibliography">
    <w:name w:val="EndNote Bibliography"/>
    <w:basedOn w:val="Normal"/>
    <w:link w:val="EndNoteBibliographyChar"/>
    <w:rsid w:val="00982678"/>
    <w:rPr>
      <w:rFonts w:eastAsiaTheme="minorHAnsi"/>
      <w:lang w:val="en-US" w:eastAsia="en-US"/>
    </w:rPr>
  </w:style>
  <w:style w:type="paragraph" w:styleId="BalloonText">
    <w:name w:val="Balloon Text"/>
    <w:basedOn w:val="Normal"/>
    <w:link w:val="BalloonTextChar"/>
    <w:uiPriority w:val="99"/>
    <w:semiHidden/>
    <w:unhideWhenUsed/>
    <w:rsid w:val="009826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678"/>
    <w:rPr>
      <w:rFonts w:ascii="Segoe UI" w:eastAsia="Times New Roman" w:hAnsi="Segoe UI" w:cs="Segoe UI"/>
      <w:sz w:val="18"/>
      <w:szCs w:val="18"/>
      <w:lang w:eastAsia="en-GB"/>
    </w:rPr>
  </w:style>
  <w:style w:type="character" w:customStyle="1" w:styleId="Heading1Char">
    <w:name w:val="Heading 1 Char"/>
    <w:basedOn w:val="DefaultParagraphFont"/>
    <w:link w:val="Heading1"/>
    <w:uiPriority w:val="9"/>
    <w:rsid w:val="00D16C06"/>
    <w:rPr>
      <w:rFonts w:ascii="Times New Roman" w:eastAsia="Times New Roman" w:hAnsi="Times New Roman" w:cs="Times New Roman"/>
      <w:b/>
      <w:bCs/>
      <w:kern w:val="36"/>
      <w:sz w:val="48"/>
      <w:szCs w:val="48"/>
      <w:lang w:eastAsia="en-GB"/>
    </w:rPr>
  </w:style>
  <w:style w:type="character" w:customStyle="1" w:styleId="epub-state">
    <w:name w:val="epub-state"/>
    <w:basedOn w:val="DefaultParagraphFont"/>
    <w:rsid w:val="00D16C06"/>
  </w:style>
  <w:style w:type="character" w:customStyle="1" w:styleId="epub-date">
    <w:name w:val="epub-date"/>
    <w:basedOn w:val="DefaultParagraphFont"/>
    <w:rsid w:val="00D16C06"/>
  </w:style>
  <w:style w:type="character" w:customStyle="1" w:styleId="Heading2Char">
    <w:name w:val="Heading 2 Char"/>
    <w:basedOn w:val="DefaultParagraphFont"/>
    <w:link w:val="Heading2"/>
    <w:uiPriority w:val="9"/>
    <w:semiHidden/>
    <w:rsid w:val="0084213B"/>
    <w:rPr>
      <w:rFonts w:asciiTheme="majorHAnsi" w:eastAsiaTheme="majorEastAsia" w:hAnsiTheme="majorHAnsi" w:cstheme="majorBidi"/>
      <w:color w:val="2F5496" w:themeColor="accent1" w:themeShade="BF"/>
      <w:sz w:val="26"/>
      <w:szCs w:val="26"/>
      <w:lang w:eastAsia="en-GB"/>
    </w:rPr>
  </w:style>
  <w:style w:type="character" w:customStyle="1" w:styleId="ellipsis">
    <w:name w:val="ellipsis"/>
    <w:basedOn w:val="DefaultParagraphFont"/>
    <w:rsid w:val="0084213B"/>
  </w:style>
  <w:style w:type="character" w:styleId="Emphasis">
    <w:name w:val="Emphasis"/>
    <w:basedOn w:val="DefaultParagraphFont"/>
    <w:uiPriority w:val="20"/>
    <w:qFormat/>
    <w:rsid w:val="00D11FE5"/>
    <w:rPr>
      <w:i/>
      <w:iCs/>
    </w:rPr>
  </w:style>
  <w:style w:type="character" w:customStyle="1" w:styleId="pubyear">
    <w:name w:val="pubyear"/>
    <w:basedOn w:val="DefaultParagraphFont"/>
    <w:rsid w:val="009B00B3"/>
  </w:style>
  <w:style w:type="character" w:customStyle="1" w:styleId="articletitle">
    <w:name w:val="articletitle"/>
    <w:basedOn w:val="DefaultParagraphFont"/>
    <w:rsid w:val="009B00B3"/>
  </w:style>
  <w:style w:type="character" w:customStyle="1" w:styleId="vol">
    <w:name w:val="vol"/>
    <w:basedOn w:val="DefaultParagraphFont"/>
    <w:rsid w:val="009B00B3"/>
  </w:style>
  <w:style w:type="character" w:customStyle="1" w:styleId="pagefirst">
    <w:name w:val="pagefirst"/>
    <w:basedOn w:val="DefaultParagraphFont"/>
    <w:rsid w:val="009B00B3"/>
  </w:style>
  <w:style w:type="character" w:customStyle="1" w:styleId="pagelast">
    <w:name w:val="pagelast"/>
    <w:basedOn w:val="DefaultParagraphFont"/>
    <w:rsid w:val="009B00B3"/>
  </w:style>
  <w:style w:type="character" w:customStyle="1" w:styleId="groupname">
    <w:name w:val="groupname"/>
    <w:basedOn w:val="DefaultParagraphFont"/>
    <w:rsid w:val="009B00B3"/>
  </w:style>
  <w:style w:type="character" w:customStyle="1" w:styleId="othertitle">
    <w:name w:val="othertitle"/>
    <w:basedOn w:val="DefaultParagraphFont"/>
    <w:rsid w:val="009B00B3"/>
  </w:style>
  <w:style w:type="character" w:customStyle="1" w:styleId="publisherlocation">
    <w:name w:val="publisherlocation"/>
    <w:basedOn w:val="DefaultParagraphFont"/>
    <w:rsid w:val="009B00B3"/>
  </w:style>
  <w:style w:type="character" w:customStyle="1" w:styleId="citedissue">
    <w:name w:val="citedissue"/>
    <w:basedOn w:val="DefaultParagraphFont"/>
    <w:rsid w:val="009B00B3"/>
  </w:style>
  <w:style w:type="character" w:styleId="Strong">
    <w:name w:val="Strong"/>
    <w:basedOn w:val="DefaultParagraphFont"/>
    <w:uiPriority w:val="22"/>
    <w:qFormat/>
    <w:rsid w:val="002A5FAF"/>
    <w:rPr>
      <w:b/>
      <w:bCs/>
    </w:rPr>
  </w:style>
  <w:style w:type="paragraph" w:styleId="CommentSubject">
    <w:name w:val="annotation subject"/>
    <w:basedOn w:val="CommentText"/>
    <w:next w:val="CommentText"/>
    <w:link w:val="CommentSubjectChar"/>
    <w:uiPriority w:val="99"/>
    <w:semiHidden/>
    <w:unhideWhenUsed/>
    <w:rsid w:val="00B5463D"/>
    <w:pPr>
      <w:autoSpaceDE/>
      <w:autoSpaceDN/>
      <w:adjustRightInd/>
      <w:spacing w:line="240" w:lineRule="auto"/>
    </w:pPr>
    <w:rPr>
      <w:b/>
      <w:bCs/>
      <w:sz w:val="20"/>
      <w:szCs w:val="20"/>
      <w:lang w:eastAsia="en-GB"/>
    </w:rPr>
  </w:style>
  <w:style w:type="character" w:customStyle="1" w:styleId="CommentSubjectChar">
    <w:name w:val="Comment Subject Char"/>
    <w:basedOn w:val="CommentTextChar"/>
    <w:link w:val="CommentSubject"/>
    <w:uiPriority w:val="99"/>
    <w:semiHidden/>
    <w:rsid w:val="00B5463D"/>
    <w:rPr>
      <w:rFonts w:ascii="Arial" w:eastAsia="Times New Roman" w:hAnsi="Arial" w:cs="Arial"/>
      <w:b/>
      <w:bCs/>
      <w:sz w:val="20"/>
      <w:szCs w:val="20"/>
      <w:lang w:eastAsia="en-GB"/>
    </w:rPr>
  </w:style>
  <w:style w:type="paragraph" w:styleId="Header">
    <w:name w:val="header"/>
    <w:basedOn w:val="Normal"/>
    <w:link w:val="HeaderChar"/>
    <w:uiPriority w:val="99"/>
    <w:unhideWhenUsed/>
    <w:rsid w:val="00805CBA"/>
    <w:pPr>
      <w:tabs>
        <w:tab w:val="center" w:pos="4513"/>
        <w:tab w:val="right" w:pos="9026"/>
      </w:tabs>
    </w:pPr>
  </w:style>
  <w:style w:type="character" w:customStyle="1" w:styleId="HeaderChar">
    <w:name w:val="Header Char"/>
    <w:basedOn w:val="DefaultParagraphFont"/>
    <w:link w:val="Header"/>
    <w:uiPriority w:val="99"/>
    <w:rsid w:val="00805CBA"/>
    <w:rPr>
      <w:rFonts w:ascii="Arial" w:eastAsia="Times New Roman" w:hAnsi="Arial" w:cs="Arial"/>
      <w:lang w:eastAsia="en-GB"/>
    </w:rPr>
  </w:style>
  <w:style w:type="paragraph" w:styleId="Footer">
    <w:name w:val="footer"/>
    <w:basedOn w:val="Normal"/>
    <w:link w:val="FooterChar"/>
    <w:uiPriority w:val="99"/>
    <w:unhideWhenUsed/>
    <w:rsid w:val="00805CBA"/>
    <w:pPr>
      <w:tabs>
        <w:tab w:val="center" w:pos="4513"/>
        <w:tab w:val="right" w:pos="9026"/>
      </w:tabs>
    </w:pPr>
  </w:style>
  <w:style w:type="character" w:customStyle="1" w:styleId="FooterChar">
    <w:name w:val="Footer Char"/>
    <w:basedOn w:val="DefaultParagraphFont"/>
    <w:link w:val="Footer"/>
    <w:uiPriority w:val="99"/>
    <w:rsid w:val="00805CBA"/>
    <w:rPr>
      <w:rFonts w:ascii="Arial" w:eastAsia="Times New Roman" w:hAnsi="Arial" w:cs="Arial"/>
      <w:lang w:eastAsia="en-GB"/>
    </w:rPr>
  </w:style>
  <w:style w:type="paragraph" w:customStyle="1" w:styleId="Default">
    <w:name w:val="Default"/>
    <w:rsid w:val="00020154"/>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7A6BE7"/>
    <w:pPr>
      <w:spacing w:after="0" w:line="240" w:lineRule="auto"/>
    </w:pPr>
    <w:rPr>
      <w:rFonts w:ascii="Arial" w:eastAsia="Times New Roman" w:hAnsi="Arial" w:cs="Arial"/>
      <w:lang w:eastAsia="en-GB"/>
    </w:rPr>
  </w:style>
  <w:style w:type="paragraph" w:styleId="Bibliography">
    <w:name w:val="Bibliography"/>
    <w:basedOn w:val="Normal"/>
    <w:next w:val="Normal"/>
    <w:uiPriority w:val="37"/>
    <w:unhideWhenUsed/>
    <w:rsid w:val="007E126A"/>
  </w:style>
  <w:style w:type="character" w:customStyle="1" w:styleId="UnresolvedMention1">
    <w:name w:val="Unresolved Mention1"/>
    <w:basedOn w:val="DefaultParagraphFont"/>
    <w:uiPriority w:val="99"/>
    <w:semiHidden/>
    <w:unhideWhenUsed/>
    <w:rsid w:val="007E126A"/>
    <w:rPr>
      <w:color w:val="605E5C"/>
      <w:shd w:val="clear" w:color="auto" w:fill="E1DFDD"/>
    </w:rPr>
  </w:style>
  <w:style w:type="character" w:styleId="FollowedHyperlink">
    <w:name w:val="FollowedHyperlink"/>
    <w:basedOn w:val="DefaultParagraphFont"/>
    <w:uiPriority w:val="99"/>
    <w:semiHidden/>
    <w:unhideWhenUsed/>
    <w:rsid w:val="00DD08A8"/>
    <w:rPr>
      <w:color w:val="954F72" w:themeColor="followedHyperlink"/>
      <w:u w:val="single"/>
    </w:rPr>
  </w:style>
  <w:style w:type="character" w:customStyle="1" w:styleId="UnresolvedMention2">
    <w:name w:val="Unresolved Mention2"/>
    <w:basedOn w:val="DefaultParagraphFont"/>
    <w:uiPriority w:val="99"/>
    <w:semiHidden/>
    <w:unhideWhenUsed/>
    <w:rsid w:val="00466119"/>
    <w:rPr>
      <w:color w:val="605E5C"/>
      <w:shd w:val="clear" w:color="auto" w:fill="E1DFDD"/>
    </w:rPr>
  </w:style>
  <w:style w:type="character" w:customStyle="1" w:styleId="ListParagraphChar">
    <w:name w:val="List Paragraph Char"/>
    <w:link w:val="ListParagraph"/>
    <w:uiPriority w:val="34"/>
    <w:rsid w:val="00E77E55"/>
    <w:rPr>
      <w:rFonts w:ascii="Arial" w:eastAsia="Times New Roman" w:hAnsi="Arial" w:cs="Arial"/>
      <w:lang w:eastAsia="en-GB"/>
    </w:rPr>
  </w:style>
  <w:style w:type="paragraph" w:customStyle="1" w:styleId="EndNoteBibliographyTitle">
    <w:name w:val="EndNote Bibliography Title"/>
    <w:basedOn w:val="Normal"/>
    <w:link w:val="EndNoteBibliographyTitleChar"/>
    <w:rsid w:val="00EE51F6"/>
    <w:pPr>
      <w:jc w:val="center"/>
    </w:pPr>
    <w:rPr>
      <w:noProof/>
    </w:rPr>
  </w:style>
  <w:style w:type="character" w:customStyle="1" w:styleId="EndNoteBibliographyTitleChar">
    <w:name w:val="EndNote Bibliography Title Char"/>
    <w:basedOn w:val="DefaultParagraphFont"/>
    <w:link w:val="EndNoteBibliographyTitle"/>
    <w:rsid w:val="00EE51F6"/>
    <w:rPr>
      <w:rFonts w:ascii="Arial" w:eastAsia="Times New Roman" w:hAnsi="Arial" w:cs="Arial"/>
      <w:noProof/>
      <w:lang w:eastAsia="en-GB"/>
    </w:rPr>
  </w:style>
  <w:style w:type="character" w:customStyle="1" w:styleId="UnresolvedMention">
    <w:name w:val="Unresolved Mention"/>
    <w:basedOn w:val="DefaultParagraphFont"/>
    <w:uiPriority w:val="99"/>
    <w:semiHidden/>
    <w:unhideWhenUsed/>
    <w:rsid w:val="007E584F"/>
    <w:rPr>
      <w:color w:val="605E5C"/>
      <w:shd w:val="clear" w:color="auto" w:fill="E1DFDD"/>
    </w:rPr>
  </w:style>
  <w:style w:type="table" w:styleId="TableGrid">
    <w:name w:val="Table Grid"/>
    <w:basedOn w:val="TableNormal"/>
    <w:uiPriority w:val="59"/>
    <w:rsid w:val="00773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D50533"/>
  </w:style>
  <w:style w:type="table" w:customStyle="1" w:styleId="ListTable6ColorfulAccent2">
    <w:name w:val="List Table 6 Colorful Accent 2"/>
    <w:basedOn w:val="TableNormal"/>
    <w:uiPriority w:val="51"/>
    <w:rsid w:val="0060124A"/>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PlainText">
    <w:name w:val="Plain Text"/>
    <w:basedOn w:val="Normal"/>
    <w:link w:val="PlainTextChar"/>
    <w:uiPriority w:val="99"/>
    <w:semiHidden/>
    <w:unhideWhenUsed/>
    <w:rsid w:val="006C1DA7"/>
    <w:rPr>
      <w:rFonts w:ascii="Calibri" w:eastAsiaTheme="minorHAnsi" w:hAnsi="Calibri" w:cs="Calibri"/>
      <w:lang w:eastAsia="en-US"/>
    </w:rPr>
  </w:style>
  <w:style w:type="character" w:customStyle="1" w:styleId="PlainTextChar">
    <w:name w:val="Plain Text Char"/>
    <w:basedOn w:val="DefaultParagraphFont"/>
    <w:link w:val="PlainText"/>
    <w:uiPriority w:val="99"/>
    <w:semiHidden/>
    <w:rsid w:val="006C1DA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29142">
      <w:bodyDiv w:val="1"/>
      <w:marLeft w:val="0"/>
      <w:marRight w:val="0"/>
      <w:marTop w:val="0"/>
      <w:marBottom w:val="0"/>
      <w:divBdr>
        <w:top w:val="none" w:sz="0" w:space="0" w:color="auto"/>
        <w:left w:val="none" w:sz="0" w:space="0" w:color="auto"/>
        <w:bottom w:val="none" w:sz="0" w:space="0" w:color="auto"/>
        <w:right w:val="none" w:sz="0" w:space="0" w:color="auto"/>
      </w:divBdr>
    </w:div>
    <w:div w:id="84228757">
      <w:bodyDiv w:val="1"/>
      <w:marLeft w:val="0"/>
      <w:marRight w:val="0"/>
      <w:marTop w:val="0"/>
      <w:marBottom w:val="0"/>
      <w:divBdr>
        <w:top w:val="none" w:sz="0" w:space="0" w:color="auto"/>
        <w:left w:val="none" w:sz="0" w:space="0" w:color="auto"/>
        <w:bottom w:val="none" w:sz="0" w:space="0" w:color="auto"/>
        <w:right w:val="none" w:sz="0" w:space="0" w:color="auto"/>
      </w:divBdr>
      <w:divsChild>
        <w:div w:id="615217698">
          <w:marLeft w:val="0"/>
          <w:marRight w:val="0"/>
          <w:marTop w:val="225"/>
          <w:marBottom w:val="225"/>
          <w:divBdr>
            <w:top w:val="none" w:sz="0" w:space="0" w:color="auto"/>
            <w:left w:val="none" w:sz="0" w:space="0" w:color="auto"/>
            <w:bottom w:val="none" w:sz="0" w:space="0" w:color="auto"/>
            <w:right w:val="none" w:sz="0" w:space="0" w:color="auto"/>
          </w:divBdr>
          <w:divsChild>
            <w:div w:id="530194792">
              <w:marLeft w:val="0"/>
              <w:marRight w:val="0"/>
              <w:marTop w:val="0"/>
              <w:marBottom w:val="0"/>
              <w:divBdr>
                <w:top w:val="none" w:sz="0" w:space="0" w:color="auto"/>
                <w:left w:val="none" w:sz="0" w:space="0" w:color="auto"/>
                <w:bottom w:val="none" w:sz="0" w:space="0" w:color="auto"/>
                <w:right w:val="none" w:sz="0" w:space="0" w:color="auto"/>
              </w:divBdr>
            </w:div>
          </w:divsChild>
        </w:div>
        <w:div w:id="616790676">
          <w:marLeft w:val="0"/>
          <w:marRight w:val="0"/>
          <w:marTop w:val="225"/>
          <w:marBottom w:val="225"/>
          <w:divBdr>
            <w:top w:val="none" w:sz="0" w:space="0" w:color="auto"/>
            <w:left w:val="none" w:sz="0" w:space="0" w:color="auto"/>
            <w:bottom w:val="none" w:sz="0" w:space="0" w:color="auto"/>
            <w:right w:val="none" w:sz="0" w:space="0" w:color="auto"/>
          </w:divBdr>
          <w:divsChild>
            <w:div w:id="1339189256">
              <w:marLeft w:val="0"/>
              <w:marRight w:val="0"/>
              <w:marTop w:val="0"/>
              <w:marBottom w:val="0"/>
              <w:divBdr>
                <w:top w:val="none" w:sz="0" w:space="0" w:color="auto"/>
                <w:left w:val="none" w:sz="0" w:space="0" w:color="auto"/>
                <w:bottom w:val="none" w:sz="0" w:space="0" w:color="auto"/>
                <w:right w:val="none" w:sz="0" w:space="0" w:color="auto"/>
              </w:divBdr>
              <w:divsChild>
                <w:div w:id="745297491">
                  <w:marLeft w:val="0"/>
                  <w:marRight w:val="0"/>
                  <w:marTop w:val="0"/>
                  <w:marBottom w:val="0"/>
                  <w:divBdr>
                    <w:top w:val="none" w:sz="0" w:space="0" w:color="auto"/>
                    <w:left w:val="none" w:sz="0" w:space="0" w:color="auto"/>
                    <w:bottom w:val="none" w:sz="0" w:space="0" w:color="auto"/>
                    <w:right w:val="none" w:sz="0" w:space="0" w:color="auto"/>
                  </w:divBdr>
                  <w:divsChild>
                    <w:div w:id="137917701">
                      <w:marLeft w:val="0"/>
                      <w:marRight w:val="0"/>
                      <w:marTop w:val="0"/>
                      <w:marBottom w:val="0"/>
                      <w:divBdr>
                        <w:top w:val="none" w:sz="0" w:space="0" w:color="auto"/>
                        <w:left w:val="none" w:sz="0" w:space="0" w:color="auto"/>
                        <w:bottom w:val="none" w:sz="0" w:space="0" w:color="auto"/>
                        <w:right w:val="none" w:sz="0" w:space="0" w:color="auto"/>
                      </w:divBdr>
                    </w:div>
                    <w:div w:id="412316491">
                      <w:marLeft w:val="0"/>
                      <w:marRight w:val="0"/>
                      <w:marTop w:val="0"/>
                      <w:marBottom w:val="0"/>
                      <w:divBdr>
                        <w:top w:val="none" w:sz="0" w:space="0" w:color="auto"/>
                        <w:left w:val="none" w:sz="0" w:space="0" w:color="auto"/>
                        <w:bottom w:val="none" w:sz="0" w:space="0" w:color="auto"/>
                        <w:right w:val="none" w:sz="0" w:space="0" w:color="auto"/>
                      </w:divBdr>
                    </w:div>
                    <w:div w:id="522326478">
                      <w:marLeft w:val="0"/>
                      <w:marRight w:val="0"/>
                      <w:marTop w:val="0"/>
                      <w:marBottom w:val="0"/>
                      <w:divBdr>
                        <w:top w:val="none" w:sz="0" w:space="0" w:color="auto"/>
                        <w:left w:val="none" w:sz="0" w:space="0" w:color="auto"/>
                        <w:bottom w:val="none" w:sz="0" w:space="0" w:color="auto"/>
                        <w:right w:val="none" w:sz="0" w:space="0" w:color="auto"/>
                      </w:divBdr>
                    </w:div>
                    <w:div w:id="654333046">
                      <w:marLeft w:val="0"/>
                      <w:marRight w:val="0"/>
                      <w:marTop w:val="0"/>
                      <w:marBottom w:val="0"/>
                      <w:divBdr>
                        <w:top w:val="none" w:sz="0" w:space="0" w:color="auto"/>
                        <w:left w:val="none" w:sz="0" w:space="0" w:color="auto"/>
                        <w:bottom w:val="none" w:sz="0" w:space="0" w:color="auto"/>
                        <w:right w:val="none" w:sz="0" w:space="0" w:color="auto"/>
                      </w:divBdr>
                    </w:div>
                    <w:div w:id="1008629991">
                      <w:marLeft w:val="0"/>
                      <w:marRight w:val="0"/>
                      <w:marTop w:val="0"/>
                      <w:marBottom w:val="0"/>
                      <w:divBdr>
                        <w:top w:val="none" w:sz="0" w:space="0" w:color="auto"/>
                        <w:left w:val="none" w:sz="0" w:space="0" w:color="auto"/>
                        <w:bottom w:val="none" w:sz="0" w:space="0" w:color="auto"/>
                        <w:right w:val="none" w:sz="0" w:space="0" w:color="auto"/>
                      </w:divBdr>
                    </w:div>
                    <w:div w:id="1088817004">
                      <w:marLeft w:val="0"/>
                      <w:marRight w:val="0"/>
                      <w:marTop w:val="0"/>
                      <w:marBottom w:val="0"/>
                      <w:divBdr>
                        <w:top w:val="none" w:sz="0" w:space="0" w:color="auto"/>
                        <w:left w:val="none" w:sz="0" w:space="0" w:color="auto"/>
                        <w:bottom w:val="none" w:sz="0" w:space="0" w:color="auto"/>
                        <w:right w:val="none" w:sz="0" w:space="0" w:color="auto"/>
                      </w:divBdr>
                    </w:div>
                    <w:div w:id="1095521139">
                      <w:marLeft w:val="0"/>
                      <w:marRight w:val="0"/>
                      <w:marTop w:val="0"/>
                      <w:marBottom w:val="0"/>
                      <w:divBdr>
                        <w:top w:val="none" w:sz="0" w:space="0" w:color="auto"/>
                        <w:left w:val="none" w:sz="0" w:space="0" w:color="auto"/>
                        <w:bottom w:val="none" w:sz="0" w:space="0" w:color="auto"/>
                        <w:right w:val="none" w:sz="0" w:space="0" w:color="auto"/>
                      </w:divBdr>
                    </w:div>
                    <w:div w:id="1872063399">
                      <w:marLeft w:val="0"/>
                      <w:marRight w:val="0"/>
                      <w:marTop w:val="0"/>
                      <w:marBottom w:val="0"/>
                      <w:divBdr>
                        <w:top w:val="none" w:sz="0" w:space="0" w:color="auto"/>
                        <w:left w:val="none" w:sz="0" w:space="0" w:color="auto"/>
                        <w:bottom w:val="none" w:sz="0" w:space="0" w:color="auto"/>
                        <w:right w:val="none" w:sz="0" w:space="0" w:color="auto"/>
                      </w:divBdr>
                    </w:div>
                    <w:div w:id="208969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574123">
          <w:marLeft w:val="0"/>
          <w:marRight w:val="0"/>
          <w:marTop w:val="150"/>
          <w:marBottom w:val="150"/>
          <w:divBdr>
            <w:top w:val="none" w:sz="0" w:space="0" w:color="auto"/>
            <w:left w:val="none" w:sz="0" w:space="0" w:color="auto"/>
            <w:bottom w:val="none" w:sz="0" w:space="0" w:color="auto"/>
            <w:right w:val="none" w:sz="0" w:space="0" w:color="auto"/>
          </w:divBdr>
        </w:div>
      </w:divsChild>
    </w:div>
    <w:div w:id="150606768">
      <w:bodyDiv w:val="1"/>
      <w:marLeft w:val="0"/>
      <w:marRight w:val="0"/>
      <w:marTop w:val="0"/>
      <w:marBottom w:val="0"/>
      <w:divBdr>
        <w:top w:val="none" w:sz="0" w:space="0" w:color="auto"/>
        <w:left w:val="none" w:sz="0" w:space="0" w:color="auto"/>
        <w:bottom w:val="none" w:sz="0" w:space="0" w:color="auto"/>
        <w:right w:val="none" w:sz="0" w:space="0" w:color="auto"/>
      </w:divBdr>
    </w:div>
    <w:div w:id="206643626">
      <w:bodyDiv w:val="1"/>
      <w:marLeft w:val="0"/>
      <w:marRight w:val="0"/>
      <w:marTop w:val="0"/>
      <w:marBottom w:val="0"/>
      <w:divBdr>
        <w:top w:val="none" w:sz="0" w:space="0" w:color="auto"/>
        <w:left w:val="none" w:sz="0" w:space="0" w:color="auto"/>
        <w:bottom w:val="none" w:sz="0" w:space="0" w:color="auto"/>
        <w:right w:val="none" w:sz="0" w:space="0" w:color="auto"/>
      </w:divBdr>
    </w:div>
    <w:div w:id="270675557">
      <w:bodyDiv w:val="1"/>
      <w:marLeft w:val="0"/>
      <w:marRight w:val="0"/>
      <w:marTop w:val="0"/>
      <w:marBottom w:val="0"/>
      <w:divBdr>
        <w:top w:val="none" w:sz="0" w:space="0" w:color="auto"/>
        <w:left w:val="none" w:sz="0" w:space="0" w:color="auto"/>
        <w:bottom w:val="none" w:sz="0" w:space="0" w:color="auto"/>
        <w:right w:val="none" w:sz="0" w:space="0" w:color="auto"/>
      </w:divBdr>
    </w:div>
    <w:div w:id="306714773">
      <w:bodyDiv w:val="1"/>
      <w:marLeft w:val="0"/>
      <w:marRight w:val="0"/>
      <w:marTop w:val="0"/>
      <w:marBottom w:val="0"/>
      <w:divBdr>
        <w:top w:val="none" w:sz="0" w:space="0" w:color="auto"/>
        <w:left w:val="none" w:sz="0" w:space="0" w:color="auto"/>
        <w:bottom w:val="none" w:sz="0" w:space="0" w:color="auto"/>
        <w:right w:val="none" w:sz="0" w:space="0" w:color="auto"/>
      </w:divBdr>
    </w:div>
    <w:div w:id="371686301">
      <w:bodyDiv w:val="1"/>
      <w:marLeft w:val="0"/>
      <w:marRight w:val="0"/>
      <w:marTop w:val="0"/>
      <w:marBottom w:val="0"/>
      <w:divBdr>
        <w:top w:val="none" w:sz="0" w:space="0" w:color="auto"/>
        <w:left w:val="none" w:sz="0" w:space="0" w:color="auto"/>
        <w:bottom w:val="none" w:sz="0" w:space="0" w:color="auto"/>
        <w:right w:val="none" w:sz="0" w:space="0" w:color="auto"/>
      </w:divBdr>
    </w:div>
    <w:div w:id="445466383">
      <w:bodyDiv w:val="1"/>
      <w:marLeft w:val="0"/>
      <w:marRight w:val="0"/>
      <w:marTop w:val="0"/>
      <w:marBottom w:val="0"/>
      <w:divBdr>
        <w:top w:val="none" w:sz="0" w:space="0" w:color="auto"/>
        <w:left w:val="none" w:sz="0" w:space="0" w:color="auto"/>
        <w:bottom w:val="none" w:sz="0" w:space="0" w:color="auto"/>
        <w:right w:val="none" w:sz="0" w:space="0" w:color="auto"/>
      </w:divBdr>
    </w:div>
    <w:div w:id="733164700">
      <w:bodyDiv w:val="1"/>
      <w:marLeft w:val="0"/>
      <w:marRight w:val="0"/>
      <w:marTop w:val="0"/>
      <w:marBottom w:val="0"/>
      <w:divBdr>
        <w:top w:val="none" w:sz="0" w:space="0" w:color="auto"/>
        <w:left w:val="none" w:sz="0" w:space="0" w:color="auto"/>
        <w:bottom w:val="none" w:sz="0" w:space="0" w:color="auto"/>
        <w:right w:val="none" w:sz="0" w:space="0" w:color="auto"/>
      </w:divBdr>
    </w:div>
    <w:div w:id="759522658">
      <w:bodyDiv w:val="1"/>
      <w:marLeft w:val="0"/>
      <w:marRight w:val="0"/>
      <w:marTop w:val="0"/>
      <w:marBottom w:val="0"/>
      <w:divBdr>
        <w:top w:val="none" w:sz="0" w:space="0" w:color="auto"/>
        <w:left w:val="none" w:sz="0" w:space="0" w:color="auto"/>
        <w:bottom w:val="none" w:sz="0" w:space="0" w:color="auto"/>
        <w:right w:val="none" w:sz="0" w:space="0" w:color="auto"/>
      </w:divBdr>
    </w:div>
    <w:div w:id="792677992">
      <w:bodyDiv w:val="1"/>
      <w:marLeft w:val="0"/>
      <w:marRight w:val="0"/>
      <w:marTop w:val="0"/>
      <w:marBottom w:val="0"/>
      <w:divBdr>
        <w:top w:val="none" w:sz="0" w:space="0" w:color="auto"/>
        <w:left w:val="none" w:sz="0" w:space="0" w:color="auto"/>
        <w:bottom w:val="none" w:sz="0" w:space="0" w:color="auto"/>
        <w:right w:val="none" w:sz="0" w:space="0" w:color="auto"/>
      </w:divBdr>
    </w:div>
    <w:div w:id="792987198">
      <w:bodyDiv w:val="1"/>
      <w:marLeft w:val="0"/>
      <w:marRight w:val="0"/>
      <w:marTop w:val="0"/>
      <w:marBottom w:val="0"/>
      <w:divBdr>
        <w:top w:val="none" w:sz="0" w:space="0" w:color="auto"/>
        <w:left w:val="none" w:sz="0" w:space="0" w:color="auto"/>
        <w:bottom w:val="none" w:sz="0" w:space="0" w:color="auto"/>
        <w:right w:val="none" w:sz="0" w:space="0" w:color="auto"/>
      </w:divBdr>
    </w:div>
    <w:div w:id="828329459">
      <w:bodyDiv w:val="1"/>
      <w:marLeft w:val="0"/>
      <w:marRight w:val="0"/>
      <w:marTop w:val="0"/>
      <w:marBottom w:val="0"/>
      <w:divBdr>
        <w:top w:val="none" w:sz="0" w:space="0" w:color="auto"/>
        <w:left w:val="none" w:sz="0" w:space="0" w:color="auto"/>
        <w:bottom w:val="none" w:sz="0" w:space="0" w:color="auto"/>
        <w:right w:val="none" w:sz="0" w:space="0" w:color="auto"/>
      </w:divBdr>
    </w:div>
    <w:div w:id="844593964">
      <w:bodyDiv w:val="1"/>
      <w:marLeft w:val="0"/>
      <w:marRight w:val="0"/>
      <w:marTop w:val="0"/>
      <w:marBottom w:val="0"/>
      <w:divBdr>
        <w:top w:val="none" w:sz="0" w:space="0" w:color="auto"/>
        <w:left w:val="none" w:sz="0" w:space="0" w:color="auto"/>
        <w:bottom w:val="none" w:sz="0" w:space="0" w:color="auto"/>
        <w:right w:val="none" w:sz="0" w:space="0" w:color="auto"/>
      </w:divBdr>
    </w:div>
    <w:div w:id="899636936">
      <w:bodyDiv w:val="1"/>
      <w:marLeft w:val="0"/>
      <w:marRight w:val="0"/>
      <w:marTop w:val="0"/>
      <w:marBottom w:val="0"/>
      <w:divBdr>
        <w:top w:val="none" w:sz="0" w:space="0" w:color="auto"/>
        <w:left w:val="none" w:sz="0" w:space="0" w:color="auto"/>
        <w:bottom w:val="none" w:sz="0" w:space="0" w:color="auto"/>
        <w:right w:val="none" w:sz="0" w:space="0" w:color="auto"/>
      </w:divBdr>
    </w:div>
    <w:div w:id="929004897">
      <w:bodyDiv w:val="1"/>
      <w:marLeft w:val="0"/>
      <w:marRight w:val="0"/>
      <w:marTop w:val="0"/>
      <w:marBottom w:val="0"/>
      <w:divBdr>
        <w:top w:val="none" w:sz="0" w:space="0" w:color="auto"/>
        <w:left w:val="none" w:sz="0" w:space="0" w:color="auto"/>
        <w:bottom w:val="none" w:sz="0" w:space="0" w:color="auto"/>
        <w:right w:val="none" w:sz="0" w:space="0" w:color="auto"/>
      </w:divBdr>
      <w:divsChild>
        <w:div w:id="986128608">
          <w:marLeft w:val="0"/>
          <w:marRight w:val="0"/>
          <w:marTop w:val="0"/>
          <w:marBottom w:val="0"/>
          <w:divBdr>
            <w:top w:val="none" w:sz="0" w:space="0" w:color="auto"/>
            <w:left w:val="none" w:sz="0" w:space="0" w:color="auto"/>
            <w:bottom w:val="none" w:sz="0" w:space="0" w:color="auto"/>
            <w:right w:val="none" w:sz="0" w:space="0" w:color="auto"/>
          </w:divBdr>
          <w:divsChild>
            <w:div w:id="1366326916">
              <w:marLeft w:val="0"/>
              <w:marRight w:val="0"/>
              <w:marTop w:val="0"/>
              <w:marBottom w:val="0"/>
              <w:divBdr>
                <w:top w:val="none" w:sz="0" w:space="0" w:color="auto"/>
                <w:left w:val="none" w:sz="0" w:space="0" w:color="auto"/>
                <w:bottom w:val="none" w:sz="0" w:space="0" w:color="auto"/>
                <w:right w:val="none" w:sz="0" w:space="0" w:color="auto"/>
              </w:divBdr>
              <w:divsChild>
                <w:div w:id="117075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72333">
      <w:bodyDiv w:val="1"/>
      <w:marLeft w:val="0"/>
      <w:marRight w:val="0"/>
      <w:marTop w:val="0"/>
      <w:marBottom w:val="0"/>
      <w:divBdr>
        <w:top w:val="none" w:sz="0" w:space="0" w:color="auto"/>
        <w:left w:val="none" w:sz="0" w:space="0" w:color="auto"/>
        <w:bottom w:val="none" w:sz="0" w:space="0" w:color="auto"/>
        <w:right w:val="none" w:sz="0" w:space="0" w:color="auto"/>
      </w:divBdr>
      <w:divsChild>
        <w:div w:id="1343706750">
          <w:marLeft w:val="0"/>
          <w:marRight w:val="0"/>
          <w:marTop w:val="225"/>
          <w:marBottom w:val="225"/>
          <w:divBdr>
            <w:top w:val="none" w:sz="0" w:space="0" w:color="auto"/>
            <w:left w:val="none" w:sz="0" w:space="0" w:color="auto"/>
            <w:bottom w:val="none" w:sz="0" w:space="0" w:color="auto"/>
            <w:right w:val="none" w:sz="0" w:space="0" w:color="auto"/>
          </w:divBdr>
          <w:divsChild>
            <w:div w:id="176773969">
              <w:marLeft w:val="0"/>
              <w:marRight w:val="0"/>
              <w:marTop w:val="0"/>
              <w:marBottom w:val="0"/>
              <w:divBdr>
                <w:top w:val="none" w:sz="0" w:space="0" w:color="auto"/>
                <w:left w:val="none" w:sz="0" w:space="0" w:color="auto"/>
                <w:bottom w:val="none" w:sz="0" w:space="0" w:color="auto"/>
                <w:right w:val="none" w:sz="0" w:space="0" w:color="auto"/>
              </w:divBdr>
            </w:div>
          </w:divsChild>
        </w:div>
        <w:div w:id="1703479710">
          <w:marLeft w:val="0"/>
          <w:marRight w:val="0"/>
          <w:marTop w:val="225"/>
          <w:marBottom w:val="225"/>
          <w:divBdr>
            <w:top w:val="none" w:sz="0" w:space="0" w:color="auto"/>
            <w:left w:val="none" w:sz="0" w:space="0" w:color="auto"/>
            <w:bottom w:val="none" w:sz="0" w:space="0" w:color="auto"/>
            <w:right w:val="none" w:sz="0" w:space="0" w:color="auto"/>
          </w:divBdr>
          <w:divsChild>
            <w:div w:id="595014379">
              <w:marLeft w:val="0"/>
              <w:marRight w:val="0"/>
              <w:marTop w:val="0"/>
              <w:marBottom w:val="0"/>
              <w:divBdr>
                <w:top w:val="none" w:sz="0" w:space="0" w:color="auto"/>
                <w:left w:val="none" w:sz="0" w:space="0" w:color="auto"/>
                <w:bottom w:val="none" w:sz="0" w:space="0" w:color="auto"/>
                <w:right w:val="none" w:sz="0" w:space="0" w:color="auto"/>
              </w:divBdr>
              <w:divsChild>
                <w:div w:id="343560409">
                  <w:marLeft w:val="0"/>
                  <w:marRight w:val="0"/>
                  <w:marTop w:val="0"/>
                  <w:marBottom w:val="0"/>
                  <w:divBdr>
                    <w:top w:val="none" w:sz="0" w:space="0" w:color="auto"/>
                    <w:left w:val="none" w:sz="0" w:space="0" w:color="auto"/>
                    <w:bottom w:val="none" w:sz="0" w:space="0" w:color="auto"/>
                    <w:right w:val="none" w:sz="0" w:space="0" w:color="auto"/>
                  </w:divBdr>
                  <w:divsChild>
                    <w:div w:id="420686004">
                      <w:marLeft w:val="0"/>
                      <w:marRight w:val="0"/>
                      <w:marTop w:val="0"/>
                      <w:marBottom w:val="0"/>
                      <w:divBdr>
                        <w:top w:val="none" w:sz="0" w:space="0" w:color="auto"/>
                        <w:left w:val="none" w:sz="0" w:space="0" w:color="auto"/>
                        <w:bottom w:val="none" w:sz="0" w:space="0" w:color="auto"/>
                        <w:right w:val="none" w:sz="0" w:space="0" w:color="auto"/>
                      </w:divBdr>
                    </w:div>
                    <w:div w:id="544175592">
                      <w:marLeft w:val="0"/>
                      <w:marRight w:val="0"/>
                      <w:marTop w:val="0"/>
                      <w:marBottom w:val="0"/>
                      <w:divBdr>
                        <w:top w:val="none" w:sz="0" w:space="0" w:color="auto"/>
                        <w:left w:val="none" w:sz="0" w:space="0" w:color="auto"/>
                        <w:bottom w:val="none" w:sz="0" w:space="0" w:color="auto"/>
                        <w:right w:val="none" w:sz="0" w:space="0" w:color="auto"/>
                      </w:divBdr>
                    </w:div>
                    <w:div w:id="662242195">
                      <w:marLeft w:val="0"/>
                      <w:marRight w:val="0"/>
                      <w:marTop w:val="0"/>
                      <w:marBottom w:val="0"/>
                      <w:divBdr>
                        <w:top w:val="none" w:sz="0" w:space="0" w:color="auto"/>
                        <w:left w:val="none" w:sz="0" w:space="0" w:color="auto"/>
                        <w:bottom w:val="none" w:sz="0" w:space="0" w:color="auto"/>
                        <w:right w:val="none" w:sz="0" w:space="0" w:color="auto"/>
                      </w:divBdr>
                    </w:div>
                    <w:div w:id="1135220620">
                      <w:marLeft w:val="0"/>
                      <w:marRight w:val="0"/>
                      <w:marTop w:val="0"/>
                      <w:marBottom w:val="0"/>
                      <w:divBdr>
                        <w:top w:val="none" w:sz="0" w:space="0" w:color="auto"/>
                        <w:left w:val="none" w:sz="0" w:space="0" w:color="auto"/>
                        <w:bottom w:val="none" w:sz="0" w:space="0" w:color="auto"/>
                        <w:right w:val="none" w:sz="0" w:space="0" w:color="auto"/>
                      </w:divBdr>
                    </w:div>
                    <w:div w:id="1156217647">
                      <w:marLeft w:val="0"/>
                      <w:marRight w:val="0"/>
                      <w:marTop w:val="0"/>
                      <w:marBottom w:val="0"/>
                      <w:divBdr>
                        <w:top w:val="none" w:sz="0" w:space="0" w:color="auto"/>
                        <w:left w:val="none" w:sz="0" w:space="0" w:color="auto"/>
                        <w:bottom w:val="none" w:sz="0" w:space="0" w:color="auto"/>
                        <w:right w:val="none" w:sz="0" w:space="0" w:color="auto"/>
                      </w:divBdr>
                    </w:div>
                    <w:div w:id="1270552696">
                      <w:marLeft w:val="0"/>
                      <w:marRight w:val="0"/>
                      <w:marTop w:val="0"/>
                      <w:marBottom w:val="0"/>
                      <w:divBdr>
                        <w:top w:val="none" w:sz="0" w:space="0" w:color="auto"/>
                        <w:left w:val="none" w:sz="0" w:space="0" w:color="auto"/>
                        <w:bottom w:val="none" w:sz="0" w:space="0" w:color="auto"/>
                        <w:right w:val="none" w:sz="0" w:space="0" w:color="auto"/>
                      </w:divBdr>
                    </w:div>
                    <w:div w:id="1323049219">
                      <w:marLeft w:val="0"/>
                      <w:marRight w:val="0"/>
                      <w:marTop w:val="0"/>
                      <w:marBottom w:val="0"/>
                      <w:divBdr>
                        <w:top w:val="none" w:sz="0" w:space="0" w:color="auto"/>
                        <w:left w:val="none" w:sz="0" w:space="0" w:color="auto"/>
                        <w:bottom w:val="none" w:sz="0" w:space="0" w:color="auto"/>
                        <w:right w:val="none" w:sz="0" w:space="0" w:color="auto"/>
                      </w:divBdr>
                    </w:div>
                    <w:div w:id="1583367325">
                      <w:marLeft w:val="0"/>
                      <w:marRight w:val="0"/>
                      <w:marTop w:val="0"/>
                      <w:marBottom w:val="0"/>
                      <w:divBdr>
                        <w:top w:val="none" w:sz="0" w:space="0" w:color="auto"/>
                        <w:left w:val="none" w:sz="0" w:space="0" w:color="auto"/>
                        <w:bottom w:val="none" w:sz="0" w:space="0" w:color="auto"/>
                        <w:right w:val="none" w:sz="0" w:space="0" w:color="auto"/>
                      </w:divBdr>
                    </w:div>
                    <w:div w:id="1718355028">
                      <w:marLeft w:val="0"/>
                      <w:marRight w:val="0"/>
                      <w:marTop w:val="0"/>
                      <w:marBottom w:val="0"/>
                      <w:divBdr>
                        <w:top w:val="none" w:sz="0" w:space="0" w:color="auto"/>
                        <w:left w:val="none" w:sz="0" w:space="0" w:color="auto"/>
                        <w:bottom w:val="none" w:sz="0" w:space="0" w:color="auto"/>
                        <w:right w:val="none" w:sz="0" w:space="0" w:color="auto"/>
                      </w:divBdr>
                    </w:div>
                    <w:div w:id="1759524884">
                      <w:marLeft w:val="0"/>
                      <w:marRight w:val="0"/>
                      <w:marTop w:val="0"/>
                      <w:marBottom w:val="0"/>
                      <w:divBdr>
                        <w:top w:val="none" w:sz="0" w:space="0" w:color="auto"/>
                        <w:left w:val="none" w:sz="0" w:space="0" w:color="auto"/>
                        <w:bottom w:val="none" w:sz="0" w:space="0" w:color="auto"/>
                        <w:right w:val="none" w:sz="0" w:space="0" w:color="auto"/>
                      </w:divBdr>
                    </w:div>
                    <w:div w:id="1777363736">
                      <w:marLeft w:val="0"/>
                      <w:marRight w:val="0"/>
                      <w:marTop w:val="0"/>
                      <w:marBottom w:val="0"/>
                      <w:divBdr>
                        <w:top w:val="none" w:sz="0" w:space="0" w:color="auto"/>
                        <w:left w:val="none" w:sz="0" w:space="0" w:color="auto"/>
                        <w:bottom w:val="none" w:sz="0" w:space="0" w:color="auto"/>
                        <w:right w:val="none" w:sz="0" w:space="0" w:color="auto"/>
                      </w:divBdr>
                    </w:div>
                    <w:div w:id="1863324942">
                      <w:marLeft w:val="0"/>
                      <w:marRight w:val="0"/>
                      <w:marTop w:val="0"/>
                      <w:marBottom w:val="0"/>
                      <w:divBdr>
                        <w:top w:val="none" w:sz="0" w:space="0" w:color="auto"/>
                        <w:left w:val="none" w:sz="0" w:space="0" w:color="auto"/>
                        <w:bottom w:val="none" w:sz="0" w:space="0" w:color="auto"/>
                        <w:right w:val="none" w:sz="0" w:space="0" w:color="auto"/>
                      </w:divBdr>
                    </w:div>
                    <w:div w:id="203627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345442">
      <w:bodyDiv w:val="1"/>
      <w:marLeft w:val="0"/>
      <w:marRight w:val="0"/>
      <w:marTop w:val="0"/>
      <w:marBottom w:val="0"/>
      <w:divBdr>
        <w:top w:val="none" w:sz="0" w:space="0" w:color="auto"/>
        <w:left w:val="none" w:sz="0" w:space="0" w:color="auto"/>
        <w:bottom w:val="none" w:sz="0" w:space="0" w:color="auto"/>
        <w:right w:val="none" w:sz="0" w:space="0" w:color="auto"/>
      </w:divBdr>
      <w:divsChild>
        <w:div w:id="742945258">
          <w:marLeft w:val="0"/>
          <w:marRight w:val="0"/>
          <w:marTop w:val="225"/>
          <w:marBottom w:val="225"/>
          <w:divBdr>
            <w:top w:val="none" w:sz="0" w:space="0" w:color="auto"/>
            <w:left w:val="none" w:sz="0" w:space="0" w:color="auto"/>
            <w:bottom w:val="none" w:sz="0" w:space="0" w:color="auto"/>
            <w:right w:val="none" w:sz="0" w:space="0" w:color="auto"/>
          </w:divBdr>
          <w:divsChild>
            <w:div w:id="64452864">
              <w:marLeft w:val="0"/>
              <w:marRight w:val="0"/>
              <w:marTop w:val="0"/>
              <w:marBottom w:val="0"/>
              <w:divBdr>
                <w:top w:val="none" w:sz="0" w:space="0" w:color="auto"/>
                <w:left w:val="none" w:sz="0" w:space="0" w:color="auto"/>
                <w:bottom w:val="none" w:sz="0" w:space="0" w:color="auto"/>
                <w:right w:val="none" w:sz="0" w:space="0" w:color="auto"/>
              </w:divBdr>
            </w:div>
          </w:divsChild>
        </w:div>
        <w:div w:id="1075273905">
          <w:marLeft w:val="0"/>
          <w:marRight w:val="0"/>
          <w:marTop w:val="225"/>
          <w:marBottom w:val="225"/>
          <w:divBdr>
            <w:top w:val="none" w:sz="0" w:space="0" w:color="auto"/>
            <w:left w:val="none" w:sz="0" w:space="0" w:color="auto"/>
            <w:bottom w:val="none" w:sz="0" w:space="0" w:color="auto"/>
            <w:right w:val="none" w:sz="0" w:space="0" w:color="auto"/>
          </w:divBdr>
          <w:divsChild>
            <w:div w:id="17124512">
              <w:marLeft w:val="0"/>
              <w:marRight w:val="0"/>
              <w:marTop w:val="0"/>
              <w:marBottom w:val="0"/>
              <w:divBdr>
                <w:top w:val="none" w:sz="0" w:space="0" w:color="auto"/>
                <w:left w:val="none" w:sz="0" w:space="0" w:color="auto"/>
                <w:bottom w:val="none" w:sz="0" w:space="0" w:color="auto"/>
                <w:right w:val="none" w:sz="0" w:space="0" w:color="auto"/>
              </w:divBdr>
              <w:divsChild>
                <w:div w:id="872380601">
                  <w:marLeft w:val="0"/>
                  <w:marRight w:val="0"/>
                  <w:marTop w:val="0"/>
                  <w:marBottom w:val="0"/>
                  <w:divBdr>
                    <w:top w:val="none" w:sz="0" w:space="0" w:color="auto"/>
                    <w:left w:val="none" w:sz="0" w:space="0" w:color="auto"/>
                    <w:bottom w:val="none" w:sz="0" w:space="0" w:color="auto"/>
                    <w:right w:val="none" w:sz="0" w:space="0" w:color="auto"/>
                  </w:divBdr>
                  <w:divsChild>
                    <w:div w:id="102578065">
                      <w:marLeft w:val="0"/>
                      <w:marRight w:val="0"/>
                      <w:marTop w:val="0"/>
                      <w:marBottom w:val="0"/>
                      <w:divBdr>
                        <w:top w:val="none" w:sz="0" w:space="0" w:color="auto"/>
                        <w:left w:val="none" w:sz="0" w:space="0" w:color="auto"/>
                        <w:bottom w:val="none" w:sz="0" w:space="0" w:color="auto"/>
                        <w:right w:val="none" w:sz="0" w:space="0" w:color="auto"/>
                      </w:divBdr>
                    </w:div>
                    <w:div w:id="469443360">
                      <w:marLeft w:val="0"/>
                      <w:marRight w:val="0"/>
                      <w:marTop w:val="0"/>
                      <w:marBottom w:val="0"/>
                      <w:divBdr>
                        <w:top w:val="none" w:sz="0" w:space="0" w:color="auto"/>
                        <w:left w:val="none" w:sz="0" w:space="0" w:color="auto"/>
                        <w:bottom w:val="none" w:sz="0" w:space="0" w:color="auto"/>
                        <w:right w:val="none" w:sz="0" w:space="0" w:color="auto"/>
                      </w:divBdr>
                    </w:div>
                    <w:div w:id="517354882">
                      <w:marLeft w:val="0"/>
                      <w:marRight w:val="0"/>
                      <w:marTop w:val="0"/>
                      <w:marBottom w:val="0"/>
                      <w:divBdr>
                        <w:top w:val="none" w:sz="0" w:space="0" w:color="auto"/>
                        <w:left w:val="none" w:sz="0" w:space="0" w:color="auto"/>
                        <w:bottom w:val="none" w:sz="0" w:space="0" w:color="auto"/>
                        <w:right w:val="none" w:sz="0" w:space="0" w:color="auto"/>
                      </w:divBdr>
                    </w:div>
                    <w:div w:id="538981139">
                      <w:marLeft w:val="0"/>
                      <w:marRight w:val="0"/>
                      <w:marTop w:val="0"/>
                      <w:marBottom w:val="0"/>
                      <w:divBdr>
                        <w:top w:val="none" w:sz="0" w:space="0" w:color="auto"/>
                        <w:left w:val="none" w:sz="0" w:space="0" w:color="auto"/>
                        <w:bottom w:val="none" w:sz="0" w:space="0" w:color="auto"/>
                        <w:right w:val="none" w:sz="0" w:space="0" w:color="auto"/>
                      </w:divBdr>
                    </w:div>
                    <w:div w:id="560024342">
                      <w:marLeft w:val="0"/>
                      <w:marRight w:val="0"/>
                      <w:marTop w:val="0"/>
                      <w:marBottom w:val="0"/>
                      <w:divBdr>
                        <w:top w:val="none" w:sz="0" w:space="0" w:color="auto"/>
                        <w:left w:val="none" w:sz="0" w:space="0" w:color="auto"/>
                        <w:bottom w:val="none" w:sz="0" w:space="0" w:color="auto"/>
                        <w:right w:val="none" w:sz="0" w:space="0" w:color="auto"/>
                      </w:divBdr>
                    </w:div>
                    <w:div w:id="562368731">
                      <w:marLeft w:val="0"/>
                      <w:marRight w:val="0"/>
                      <w:marTop w:val="0"/>
                      <w:marBottom w:val="0"/>
                      <w:divBdr>
                        <w:top w:val="none" w:sz="0" w:space="0" w:color="auto"/>
                        <w:left w:val="none" w:sz="0" w:space="0" w:color="auto"/>
                        <w:bottom w:val="none" w:sz="0" w:space="0" w:color="auto"/>
                        <w:right w:val="none" w:sz="0" w:space="0" w:color="auto"/>
                      </w:divBdr>
                    </w:div>
                    <w:div w:id="924609514">
                      <w:marLeft w:val="0"/>
                      <w:marRight w:val="0"/>
                      <w:marTop w:val="0"/>
                      <w:marBottom w:val="0"/>
                      <w:divBdr>
                        <w:top w:val="none" w:sz="0" w:space="0" w:color="auto"/>
                        <w:left w:val="none" w:sz="0" w:space="0" w:color="auto"/>
                        <w:bottom w:val="none" w:sz="0" w:space="0" w:color="auto"/>
                        <w:right w:val="none" w:sz="0" w:space="0" w:color="auto"/>
                      </w:divBdr>
                    </w:div>
                    <w:div w:id="1118253957">
                      <w:marLeft w:val="0"/>
                      <w:marRight w:val="0"/>
                      <w:marTop w:val="0"/>
                      <w:marBottom w:val="0"/>
                      <w:divBdr>
                        <w:top w:val="none" w:sz="0" w:space="0" w:color="auto"/>
                        <w:left w:val="none" w:sz="0" w:space="0" w:color="auto"/>
                        <w:bottom w:val="none" w:sz="0" w:space="0" w:color="auto"/>
                        <w:right w:val="none" w:sz="0" w:space="0" w:color="auto"/>
                      </w:divBdr>
                    </w:div>
                    <w:div w:id="1164737221">
                      <w:marLeft w:val="0"/>
                      <w:marRight w:val="0"/>
                      <w:marTop w:val="0"/>
                      <w:marBottom w:val="0"/>
                      <w:divBdr>
                        <w:top w:val="none" w:sz="0" w:space="0" w:color="auto"/>
                        <w:left w:val="none" w:sz="0" w:space="0" w:color="auto"/>
                        <w:bottom w:val="none" w:sz="0" w:space="0" w:color="auto"/>
                        <w:right w:val="none" w:sz="0" w:space="0" w:color="auto"/>
                      </w:divBdr>
                    </w:div>
                    <w:div w:id="1183514962">
                      <w:marLeft w:val="0"/>
                      <w:marRight w:val="0"/>
                      <w:marTop w:val="0"/>
                      <w:marBottom w:val="0"/>
                      <w:divBdr>
                        <w:top w:val="none" w:sz="0" w:space="0" w:color="auto"/>
                        <w:left w:val="none" w:sz="0" w:space="0" w:color="auto"/>
                        <w:bottom w:val="none" w:sz="0" w:space="0" w:color="auto"/>
                        <w:right w:val="none" w:sz="0" w:space="0" w:color="auto"/>
                      </w:divBdr>
                    </w:div>
                    <w:div w:id="1754618113">
                      <w:marLeft w:val="0"/>
                      <w:marRight w:val="0"/>
                      <w:marTop w:val="0"/>
                      <w:marBottom w:val="0"/>
                      <w:divBdr>
                        <w:top w:val="none" w:sz="0" w:space="0" w:color="auto"/>
                        <w:left w:val="none" w:sz="0" w:space="0" w:color="auto"/>
                        <w:bottom w:val="none" w:sz="0" w:space="0" w:color="auto"/>
                        <w:right w:val="none" w:sz="0" w:space="0" w:color="auto"/>
                      </w:divBdr>
                    </w:div>
                    <w:div w:id="2050260913">
                      <w:marLeft w:val="0"/>
                      <w:marRight w:val="0"/>
                      <w:marTop w:val="0"/>
                      <w:marBottom w:val="0"/>
                      <w:divBdr>
                        <w:top w:val="none" w:sz="0" w:space="0" w:color="auto"/>
                        <w:left w:val="none" w:sz="0" w:space="0" w:color="auto"/>
                        <w:bottom w:val="none" w:sz="0" w:space="0" w:color="auto"/>
                        <w:right w:val="none" w:sz="0" w:space="0" w:color="auto"/>
                      </w:divBdr>
                    </w:div>
                    <w:div w:id="206887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527322">
      <w:bodyDiv w:val="1"/>
      <w:marLeft w:val="0"/>
      <w:marRight w:val="0"/>
      <w:marTop w:val="0"/>
      <w:marBottom w:val="0"/>
      <w:divBdr>
        <w:top w:val="none" w:sz="0" w:space="0" w:color="auto"/>
        <w:left w:val="none" w:sz="0" w:space="0" w:color="auto"/>
        <w:bottom w:val="none" w:sz="0" w:space="0" w:color="auto"/>
        <w:right w:val="none" w:sz="0" w:space="0" w:color="auto"/>
      </w:divBdr>
      <w:divsChild>
        <w:div w:id="1590232897">
          <w:marLeft w:val="0"/>
          <w:marRight w:val="0"/>
          <w:marTop w:val="0"/>
          <w:marBottom w:val="0"/>
          <w:divBdr>
            <w:top w:val="none" w:sz="0" w:space="0" w:color="auto"/>
            <w:left w:val="none" w:sz="0" w:space="0" w:color="auto"/>
            <w:bottom w:val="none" w:sz="0" w:space="0" w:color="auto"/>
            <w:right w:val="none" w:sz="0" w:space="0" w:color="auto"/>
          </w:divBdr>
          <w:divsChild>
            <w:div w:id="1281036595">
              <w:marLeft w:val="1740"/>
              <w:marRight w:val="0"/>
              <w:marTop w:val="0"/>
              <w:marBottom w:val="240"/>
              <w:divBdr>
                <w:top w:val="none" w:sz="0" w:space="0" w:color="auto"/>
                <w:left w:val="none" w:sz="0" w:space="0" w:color="auto"/>
                <w:bottom w:val="none" w:sz="0" w:space="0" w:color="auto"/>
                <w:right w:val="none" w:sz="0" w:space="0" w:color="auto"/>
              </w:divBdr>
            </w:div>
          </w:divsChild>
        </w:div>
        <w:div w:id="854921758">
          <w:marLeft w:val="0"/>
          <w:marRight w:val="0"/>
          <w:marTop w:val="0"/>
          <w:marBottom w:val="0"/>
          <w:divBdr>
            <w:top w:val="none" w:sz="0" w:space="0" w:color="auto"/>
            <w:left w:val="none" w:sz="0" w:space="0" w:color="auto"/>
            <w:bottom w:val="none" w:sz="0" w:space="0" w:color="auto"/>
            <w:right w:val="none" w:sz="0" w:space="0" w:color="auto"/>
          </w:divBdr>
          <w:divsChild>
            <w:div w:id="1327398885">
              <w:marLeft w:val="1740"/>
              <w:marRight w:val="0"/>
              <w:marTop w:val="0"/>
              <w:marBottom w:val="240"/>
              <w:divBdr>
                <w:top w:val="none" w:sz="0" w:space="0" w:color="auto"/>
                <w:left w:val="none" w:sz="0" w:space="0" w:color="auto"/>
                <w:bottom w:val="none" w:sz="0" w:space="0" w:color="auto"/>
                <w:right w:val="none" w:sz="0" w:space="0" w:color="auto"/>
              </w:divBdr>
            </w:div>
          </w:divsChild>
        </w:div>
        <w:div w:id="98569961">
          <w:marLeft w:val="0"/>
          <w:marRight w:val="0"/>
          <w:marTop w:val="0"/>
          <w:marBottom w:val="0"/>
          <w:divBdr>
            <w:top w:val="none" w:sz="0" w:space="0" w:color="auto"/>
            <w:left w:val="none" w:sz="0" w:space="0" w:color="auto"/>
            <w:bottom w:val="none" w:sz="0" w:space="0" w:color="auto"/>
            <w:right w:val="none" w:sz="0" w:space="0" w:color="auto"/>
          </w:divBdr>
          <w:divsChild>
            <w:div w:id="262496049">
              <w:marLeft w:val="1740"/>
              <w:marRight w:val="0"/>
              <w:marTop w:val="0"/>
              <w:marBottom w:val="240"/>
              <w:divBdr>
                <w:top w:val="none" w:sz="0" w:space="0" w:color="auto"/>
                <w:left w:val="none" w:sz="0" w:space="0" w:color="auto"/>
                <w:bottom w:val="none" w:sz="0" w:space="0" w:color="auto"/>
                <w:right w:val="none" w:sz="0" w:space="0" w:color="auto"/>
              </w:divBdr>
            </w:div>
          </w:divsChild>
        </w:div>
        <w:div w:id="1515731999">
          <w:marLeft w:val="0"/>
          <w:marRight w:val="0"/>
          <w:marTop w:val="0"/>
          <w:marBottom w:val="0"/>
          <w:divBdr>
            <w:top w:val="none" w:sz="0" w:space="0" w:color="auto"/>
            <w:left w:val="none" w:sz="0" w:space="0" w:color="auto"/>
            <w:bottom w:val="none" w:sz="0" w:space="0" w:color="auto"/>
            <w:right w:val="none" w:sz="0" w:space="0" w:color="auto"/>
          </w:divBdr>
          <w:divsChild>
            <w:div w:id="251281418">
              <w:marLeft w:val="1740"/>
              <w:marRight w:val="0"/>
              <w:marTop w:val="0"/>
              <w:marBottom w:val="240"/>
              <w:divBdr>
                <w:top w:val="none" w:sz="0" w:space="0" w:color="auto"/>
                <w:left w:val="none" w:sz="0" w:space="0" w:color="auto"/>
                <w:bottom w:val="none" w:sz="0" w:space="0" w:color="auto"/>
                <w:right w:val="none" w:sz="0" w:space="0" w:color="auto"/>
              </w:divBdr>
            </w:div>
          </w:divsChild>
        </w:div>
        <w:div w:id="1468663810">
          <w:marLeft w:val="0"/>
          <w:marRight w:val="0"/>
          <w:marTop w:val="0"/>
          <w:marBottom w:val="0"/>
          <w:divBdr>
            <w:top w:val="none" w:sz="0" w:space="0" w:color="auto"/>
            <w:left w:val="none" w:sz="0" w:space="0" w:color="auto"/>
            <w:bottom w:val="none" w:sz="0" w:space="0" w:color="auto"/>
            <w:right w:val="none" w:sz="0" w:space="0" w:color="auto"/>
          </w:divBdr>
          <w:divsChild>
            <w:div w:id="406345716">
              <w:marLeft w:val="1740"/>
              <w:marRight w:val="0"/>
              <w:marTop w:val="0"/>
              <w:marBottom w:val="240"/>
              <w:divBdr>
                <w:top w:val="none" w:sz="0" w:space="0" w:color="auto"/>
                <w:left w:val="none" w:sz="0" w:space="0" w:color="auto"/>
                <w:bottom w:val="none" w:sz="0" w:space="0" w:color="auto"/>
                <w:right w:val="none" w:sz="0" w:space="0" w:color="auto"/>
              </w:divBdr>
            </w:div>
          </w:divsChild>
        </w:div>
      </w:divsChild>
    </w:div>
    <w:div w:id="1201166725">
      <w:bodyDiv w:val="1"/>
      <w:marLeft w:val="0"/>
      <w:marRight w:val="0"/>
      <w:marTop w:val="0"/>
      <w:marBottom w:val="0"/>
      <w:divBdr>
        <w:top w:val="none" w:sz="0" w:space="0" w:color="auto"/>
        <w:left w:val="none" w:sz="0" w:space="0" w:color="auto"/>
        <w:bottom w:val="none" w:sz="0" w:space="0" w:color="auto"/>
        <w:right w:val="none" w:sz="0" w:space="0" w:color="auto"/>
      </w:divBdr>
    </w:div>
    <w:div w:id="1380783474">
      <w:bodyDiv w:val="1"/>
      <w:marLeft w:val="0"/>
      <w:marRight w:val="0"/>
      <w:marTop w:val="0"/>
      <w:marBottom w:val="0"/>
      <w:divBdr>
        <w:top w:val="none" w:sz="0" w:space="0" w:color="auto"/>
        <w:left w:val="none" w:sz="0" w:space="0" w:color="auto"/>
        <w:bottom w:val="none" w:sz="0" w:space="0" w:color="auto"/>
        <w:right w:val="none" w:sz="0" w:space="0" w:color="auto"/>
      </w:divBdr>
    </w:div>
    <w:div w:id="1516460910">
      <w:bodyDiv w:val="1"/>
      <w:marLeft w:val="0"/>
      <w:marRight w:val="0"/>
      <w:marTop w:val="0"/>
      <w:marBottom w:val="0"/>
      <w:divBdr>
        <w:top w:val="none" w:sz="0" w:space="0" w:color="auto"/>
        <w:left w:val="none" w:sz="0" w:space="0" w:color="auto"/>
        <w:bottom w:val="none" w:sz="0" w:space="0" w:color="auto"/>
        <w:right w:val="none" w:sz="0" w:space="0" w:color="auto"/>
      </w:divBdr>
    </w:div>
    <w:div w:id="1518084510">
      <w:bodyDiv w:val="1"/>
      <w:marLeft w:val="0"/>
      <w:marRight w:val="0"/>
      <w:marTop w:val="0"/>
      <w:marBottom w:val="0"/>
      <w:divBdr>
        <w:top w:val="none" w:sz="0" w:space="0" w:color="auto"/>
        <w:left w:val="none" w:sz="0" w:space="0" w:color="auto"/>
        <w:bottom w:val="none" w:sz="0" w:space="0" w:color="auto"/>
        <w:right w:val="none" w:sz="0" w:space="0" w:color="auto"/>
      </w:divBdr>
    </w:div>
    <w:div w:id="1772237441">
      <w:bodyDiv w:val="1"/>
      <w:marLeft w:val="0"/>
      <w:marRight w:val="0"/>
      <w:marTop w:val="0"/>
      <w:marBottom w:val="0"/>
      <w:divBdr>
        <w:top w:val="none" w:sz="0" w:space="0" w:color="auto"/>
        <w:left w:val="none" w:sz="0" w:space="0" w:color="auto"/>
        <w:bottom w:val="none" w:sz="0" w:space="0" w:color="auto"/>
        <w:right w:val="none" w:sz="0" w:space="0" w:color="auto"/>
      </w:divBdr>
    </w:div>
    <w:div w:id="199887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ngland.nhs.uk/wp-content/uploads/2019/12/Patient_Safety_Alert_-_unknown_or_unidentified_patients_FINAL.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hyperlink" Target="https://www.transfusionguidelines.org/document-library/documents/npsa-rapid-response-report-the-transfusion-of-blood-and-blood-components-in-an-emergency-21-october-2010-pdf-100kb"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215392/dh_130568.pdf.%20Accessed%20July%20202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legislation.gov.uk/uksi/2005/50/made"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ransfusionguidelines.org/red-boo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D7B37CA697C44974D83B2E0C05C58" ma:contentTypeVersion="4" ma:contentTypeDescription="Create a new document." ma:contentTypeScope="" ma:versionID="ae08b81417267226af9a6eaa138799ec">
  <xsd:schema xmlns:xsd="http://www.w3.org/2001/XMLSchema" xmlns:xs="http://www.w3.org/2001/XMLSchema" xmlns:p="http://schemas.microsoft.com/office/2006/metadata/properties" xmlns:ns2="1189e70b-0736-4a29-af37-5c278707c05a" targetNamespace="http://schemas.microsoft.com/office/2006/metadata/properties" ma:root="true" ma:fieldsID="16698aae49461fcd28d94f2abb1b39a5" ns2:_="">
    <xsd:import namespace="1189e70b-0736-4a29-af37-5c278707c0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9e70b-0736-4a29-af37-5c278707c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9FE5BCEB-E4B2-49C6-9432-E2DBA2AF9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9e70b-0736-4a29-af37-5c278707c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777359-EC1B-44BA-88EE-350FA81AE119}">
  <ds:schemaRefs>
    <ds:schemaRef ds:uri="http://purl.org/dc/terms/"/>
    <ds:schemaRef ds:uri="http://purl.org/dc/elements/1.1/"/>
    <ds:schemaRef ds:uri="http://purl.org/dc/dcmitype/"/>
    <ds:schemaRef ds:uri="http://schemas.openxmlformats.org/package/2006/metadata/core-properties"/>
    <ds:schemaRef ds:uri="1189e70b-0736-4a29-af37-5c278707c05a"/>
    <ds:schemaRef ds:uri="http://schemas.microsoft.com/office/2006/documentManagement/types"/>
    <ds:schemaRef ds:uri="http://schemas.microsoft.com/office/2006/metadata/propertie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6C7762F0-727E-455D-A825-D05A7DF5FD33}">
  <ds:schemaRefs>
    <ds:schemaRef ds:uri="http://schemas.microsoft.com/sharepoint/v3/contenttype/forms"/>
  </ds:schemaRefs>
</ds:datastoreItem>
</file>

<file path=customXml/itemProps4.xml><?xml version="1.0" encoding="utf-8"?>
<ds:datastoreItem xmlns:ds="http://schemas.openxmlformats.org/officeDocument/2006/customXml" ds:itemID="{1939D78A-D8C5-435C-8866-AC2D3B1FB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4474</Words>
  <Characters>25504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29919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Stanworth</dc:creator>
  <cp:lastModifiedBy>Sowmya R.</cp:lastModifiedBy>
  <cp:revision>2</cp:revision>
  <cp:lastPrinted>2022-05-23T17:54:00Z</cp:lastPrinted>
  <dcterms:created xsi:type="dcterms:W3CDTF">2022-06-09T09:11:00Z</dcterms:created>
  <dcterms:modified xsi:type="dcterms:W3CDTF">2022-06-09T09:11:00Z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0x010100417D7B37CA697C44974D83B2E0C05C58</vt:lpwstr>
  </property>
</Properties>
</file>